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72276" w14:textId="1BE20DCB" w:rsidR="00F17E45" w:rsidRDefault="00F17E45" w:rsidP="00F17E45">
      <w:pPr>
        <w:pStyle w:val="a6"/>
        <w:jc w:val="center"/>
        <w:rPr>
          <w:rFonts w:ascii="Times New Roman" w:eastAsia="Times New Roman" w:hAnsi="Times New Roman" w:cs="Times New Roman"/>
          <w:b/>
          <w:bCs/>
          <w:sz w:val="24"/>
          <w:szCs w:val="24"/>
          <w:lang w:val="uk-UA" w:eastAsia="ru-RU"/>
        </w:rPr>
      </w:pPr>
      <w:r w:rsidRPr="00066A77">
        <w:rPr>
          <w:rFonts w:ascii="Times New Roman" w:eastAsia="Times New Roman" w:hAnsi="Times New Roman" w:cs="Times New Roman"/>
          <w:b/>
          <w:bCs/>
          <w:sz w:val="24"/>
          <w:szCs w:val="24"/>
          <w:lang w:val="uk-UA" w:eastAsia="ru-RU"/>
        </w:rPr>
        <w:t>Договір</w:t>
      </w:r>
      <w:r>
        <w:rPr>
          <w:rFonts w:ascii="Times New Roman" w:eastAsia="Times New Roman" w:hAnsi="Times New Roman" w:cs="Times New Roman"/>
          <w:b/>
          <w:bCs/>
          <w:sz w:val="24"/>
          <w:szCs w:val="24"/>
          <w:lang w:val="uk-UA" w:eastAsia="ru-RU"/>
        </w:rPr>
        <w:t xml:space="preserve"> публічної оферти </w:t>
      </w:r>
      <w:r w:rsidRPr="00066A77">
        <w:rPr>
          <w:rFonts w:ascii="Times New Roman" w:eastAsia="Times New Roman" w:hAnsi="Times New Roman" w:cs="Times New Roman"/>
          <w:b/>
          <w:bCs/>
          <w:sz w:val="24"/>
          <w:szCs w:val="24"/>
          <w:lang w:val="uk-UA" w:eastAsia="ru-RU"/>
        </w:rPr>
        <w:t>про надання послуг</w:t>
      </w:r>
    </w:p>
    <w:p w14:paraId="5CC7C4DC" w14:textId="77777777" w:rsidR="00F17E45" w:rsidRDefault="00F17E45" w:rsidP="00F17E45">
      <w:pPr>
        <w:pStyle w:val="a6"/>
        <w:jc w:val="center"/>
        <w:rPr>
          <w:rFonts w:ascii="Times New Roman" w:hAnsi="Times New Roman" w:cs="Times New Roman"/>
          <w:lang w:val="uk-UA" w:eastAsia="ru-RU"/>
        </w:rPr>
      </w:pPr>
    </w:p>
    <w:p w14:paraId="3B483EFA" w14:textId="0F2781B1" w:rsidR="003C49F0" w:rsidRPr="00D63CDD" w:rsidRDefault="0007653D" w:rsidP="0007653D">
      <w:pPr>
        <w:pStyle w:val="a6"/>
        <w:rPr>
          <w:rFonts w:ascii="Times New Roman" w:hAnsi="Times New Roman" w:cs="Times New Roman"/>
          <w:lang w:val="uk-UA" w:eastAsia="ru-RU"/>
        </w:rPr>
      </w:pPr>
      <w:r>
        <w:rPr>
          <w:rFonts w:ascii="Times New Roman" w:hAnsi="Times New Roman" w:cs="Times New Roman"/>
          <w:lang w:val="uk-UA" w:eastAsia="ru-RU"/>
        </w:rPr>
        <w:t>м.</w:t>
      </w:r>
      <w:r w:rsidR="003E15BA">
        <w:rPr>
          <w:rFonts w:ascii="Times New Roman" w:hAnsi="Times New Roman" w:cs="Times New Roman"/>
          <w:lang w:val="uk-UA" w:eastAsia="ru-RU"/>
        </w:rPr>
        <w:t xml:space="preserve"> </w:t>
      </w:r>
      <w:proofErr w:type="spellStart"/>
      <w:r>
        <w:rPr>
          <w:rFonts w:ascii="Times New Roman" w:hAnsi="Times New Roman" w:cs="Times New Roman"/>
          <w:lang w:val="uk-UA" w:eastAsia="ru-RU"/>
        </w:rPr>
        <w:t>К</w:t>
      </w:r>
      <w:r w:rsidR="00A92491">
        <w:rPr>
          <w:rFonts w:ascii="Times New Roman" w:hAnsi="Times New Roman" w:cs="Times New Roman"/>
          <w:lang w:val="uk-UA" w:eastAsia="ru-RU"/>
        </w:rPr>
        <w:t>ам’янське</w:t>
      </w:r>
      <w:proofErr w:type="spellEnd"/>
      <w:r>
        <w:rPr>
          <w:rFonts w:ascii="Times New Roman" w:hAnsi="Times New Roman" w:cs="Times New Roman"/>
          <w:lang w:val="uk-UA" w:eastAsia="ru-RU"/>
        </w:rPr>
        <w:tab/>
      </w:r>
      <w:r>
        <w:rPr>
          <w:rFonts w:ascii="Times New Roman" w:hAnsi="Times New Roman" w:cs="Times New Roman"/>
          <w:lang w:val="uk-UA" w:eastAsia="ru-RU"/>
        </w:rPr>
        <w:tab/>
      </w:r>
      <w:r>
        <w:rPr>
          <w:rFonts w:ascii="Times New Roman" w:hAnsi="Times New Roman" w:cs="Times New Roman"/>
          <w:lang w:val="uk-UA" w:eastAsia="ru-RU"/>
        </w:rPr>
        <w:tab/>
      </w:r>
      <w:r>
        <w:rPr>
          <w:rFonts w:ascii="Times New Roman" w:hAnsi="Times New Roman" w:cs="Times New Roman"/>
          <w:lang w:val="uk-UA" w:eastAsia="ru-RU"/>
        </w:rPr>
        <w:tab/>
      </w:r>
      <w:r>
        <w:rPr>
          <w:rFonts w:ascii="Times New Roman" w:hAnsi="Times New Roman" w:cs="Times New Roman"/>
          <w:lang w:val="uk-UA" w:eastAsia="ru-RU"/>
        </w:rPr>
        <w:tab/>
      </w:r>
      <w:r>
        <w:rPr>
          <w:rFonts w:ascii="Times New Roman" w:hAnsi="Times New Roman" w:cs="Times New Roman"/>
          <w:lang w:val="uk-UA" w:eastAsia="ru-RU"/>
        </w:rPr>
        <w:tab/>
      </w:r>
      <w:r>
        <w:rPr>
          <w:rFonts w:ascii="Times New Roman" w:hAnsi="Times New Roman" w:cs="Times New Roman"/>
          <w:lang w:val="uk-UA" w:eastAsia="ru-RU"/>
        </w:rPr>
        <w:tab/>
      </w:r>
      <w:r>
        <w:rPr>
          <w:rFonts w:ascii="Times New Roman" w:hAnsi="Times New Roman" w:cs="Times New Roman"/>
          <w:lang w:val="uk-UA" w:eastAsia="ru-RU"/>
        </w:rPr>
        <w:tab/>
      </w:r>
      <w:r w:rsidR="003C49F0" w:rsidRPr="00D63CDD">
        <w:rPr>
          <w:rFonts w:ascii="Times New Roman" w:hAnsi="Times New Roman" w:cs="Times New Roman"/>
          <w:lang w:val="uk-UA" w:eastAsia="ru-RU"/>
        </w:rPr>
        <w:t>___.________________ 20</w:t>
      </w:r>
      <w:r w:rsidR="004424B7" w:rsidRPr="00D63CDD">
        <w:rPr>
          <w:rFonts w:ascii="Times New Roman" w:hAnsi="Times New Roman" w:cs="Times New Roman"/>
          <w:lang w:val="uk-UA" w:eastAsia="ru-RU"/>
        </w:rPr>
        <w:t>2</w:t>
      </w:r>
      <w:r w:rsidR="00523493">
        <w:rPr>
          <w:rFonts w:ascii="Times New Roman" w:hAnsi="Times New Roman" w:cs="Times New Roman"/>
          <w:lang w:val="uk-UA" w:eastAsia="ru-RU"/>
        </w:rPr>
        <w:t>4</w:t>
      </w:r>
      <w:r w:rsidR="003C49F0" w:rsidRPr="00D63CDD">
        <w:rPr>
          <w:rFonts w:ascii="Times New Roman" w:hAnsi="Times New Roman" w:cs="Times New Roman"/>
          <w:lang w:val="uk-UA" w:eastAsia="ru-RU"/>
        </w:rPr>
        <w:t>р.</w:t>
      </w:r>
    </w:p>
    <w:p w14:paraId="5DA4CEF1" w14:textId="77777777" w:rsidR="000610F2" w:rsidRPr="00D63CDD" w:rsidRDefault="000610F2" w:rsidP="000610F2">
      <w:pPr>
        <w:pStyle w:val="a6"/>
        <w:ind w:left="5664" w:firstLine="708"/>
        <w:rPr>
          <w:rFonts w:ascii="Times New Roman" w:hAnsi="Times New Roman" w:cs="Times New Roman"/>
          <w:lang w:val="uk-UA" w:eastAsia="ru-RU"/>
        </w:rPr>
      </w:pPr>
    </w:p>
    <w:p w14:paraId="7452AD24" w14:textId="50E9A1EF" w:rsidR="0007653D" w:rsidRDefault="005B72E6" w:rsidP="000610F2">
      <w:pPr>
        <w:pStyle w:val="a6"/>
        <w:ind w:firstLine="708"/>
        <w:jc w:val="both"/>
        <w:rPr>
          <w:rFonts w:ascii="Times New Roman" w:hAnsi="Times New Roman" w:cs="Times New Roman"/>
          <w:lang w:val="uk-UA" w:eastAsia="ru-RU"/>
        </w:rPr>
      </w:pPr>
      <w:r>
        <w:rPr>
          <w:rFonts w:ascii="Times New Roman" w:hAnsi="Times New Roman" w:cs="Times New Roman"/>
          <w:b/>
          <w:lang w:val="uk-UA" w:eastAsia="ru-RU"/>
        </w:rPr>
        <w:t>ТОВАРИСТВО З ОБМЕЖЕНОЮ ВІДПОВІДАЛЬНІСТЮ</w:t>
      </w:r>
      <w:r w:rsidR="00EE2825" w:rsidRPr="00D63CDD">
        <w:rPr>
          <w:rFonts w:ascii="Times New Roman" w:hAnsi="Times New Roman" w:cs="Times New Roman"/>
          <w:b/>
          <w:lang w:val="uk-UA" w:eastAsia="ru-RU"/>
        </w:rPr>
        <w:t xml:space="preserve"> «</w:t>
      </w:r>
      <w:r w:rsidR="00F25F19">
        <w:rPr>
          <w:rFonts w:ascii="Times New Roman" w:hAnsi="Times New Roman" w:cs="Times New Roman"/>
          <w:b/>
          <w:lang w:val="uk-UA" w:eastAsia="ru-RU"/>
        </w:rPr>
        <w:t>ЄВРОПЕЙСЬКА</w:t>
      </w:r>
      <w:r w:rsidR="00EE2825" w:rsidRPr="00D63CDD">
        <w:rPr>
          <w:rFonts w:ascii="Times New Roman" w:hAnsi="Times New Roman" w:cs="Times New Roman"/>
          <w:b/>
          <w:lang w:val="uk-UA" w:eastAsia="ru-RU"/>
        </w:rPr>
        <w:t>»</w:t>
      </w:r>
      <w:r w:rsidR="000E73C9" w:rsidRPr="00D63CDD">
        <w:rPr>
          <w:rFonts w:ascii="Times New Roman" w:hAnsi="Times New Roman" w:cs="Times New Roman"/>
          <w:lang w:val="uk-UA" w:eastAsia="ru-RU"/>
        </w:rPr>
        <w:t xml:space="preserve"> (далі - Оператор) в особі </w:t>
      </w:r>
      <w:r w:rsidR="00565D15" w:rsidRPr="00D63CDD">
        <w:rPr>
          <w:rFonts w:ascii="Times New Roman" w:hAnsi="Times New Roman" w:cs="Times New Roman"/>
          <w:lang w:val="uk-UA" w:eastAsia="ru-RU"/>
        </w:rPr>
        <w:t xml:space="preserve">директора </w:t>
      </w:r>
      <w:r w:rsidR="00000000">
        <w:fldChar w:fldCharType="begin"/>
      </w:r>
      <w:r w:rsidR="00000000">
        <w:instrText>HYPERLINK</w:instrText>
      </w:r>
      <w:r w:rsidR="00000000" w:rsidRPr="00F25F19">
        <w:rPr>
          <w:lang w:val="uk-UA"/>
        </w:rPr>
        <w:instrText xml:space="preserve"> "</w:instrText>
      </w:r>
      <w:r w:rsidR="00000000">
        <w:instrText>https</w:instrText>
      </w:r>
      <w:r w:rsidR="00000000" w:rsidRPr="00F25F19">
        <w:rPr>
          <w:lang w:val="uk-UA"/>
        </w:rPr>
        <w:instrText>://</w:instrText>
      </w:r>
      <w:r w:rsidR="00000000">
        <w:instrText>opendatabot</w:instrText>
      </w:r>
      <w:r w:rsidR="00000000" w:rsidRPr="00F25F19">
        <w:rPr>
          <w:lang w:val="uk-UA"/>
        </w:rPr>
        <w:instrText>.</w:instrText>
      </w:r>
      <w:r w:rsidR="00000000">
        <w:instrText>ua</w:instrText>
      </w:r>
      <w:r w:rsidR="00000000" w:rsidRPr="00F25F19">
        <w:rPr>
          <w:lang w:val="uk-UA"/>
        </w:rPr>
        <w:instrText>/</w:instrText>
      </w:r>
      <w:r w:rsidR="00000000">
        <w:instrText>p</w:instrText>
      </w:r>
      <w:r w:rsidR="00000000" w:rsidRPr="00F25F19">
        <w:rPr>
          <w:lang w:val="uk-UA"/>
        </w:rPr>
        <w:instrText>/4</w:instrText>
      </w:r>
      <w:r w:rsidR="00000000">
        <w:instrText>KNE</w:instrText>
      </w:r>
      <w:r w:rsidR="00000000" w:rsidRPr="00F25F19">
        <w:rPr>
          <w:lang w:val="uk-UA"/>
        </w:rPr>
        <w:instrText>854"</w:instrText>
      </w:r>
      <w:r w:rsidR="00000000">
        <w:fldChar w:fldCharType="separate"/>
      </w:r>
      <w:proofErr w:type="spellStart"/>
      <w:r w:rsidR="0085436D" w:rsidRPr="0085436D">
        <w:rPr>
          <w:rFonts w:ascii="Times New Roman" w:hAnsi="Times New Roman" w:cs="Times New Roman"/>
          <w:lang w:val="uk-UA" w:eastAsia="ru-RU"/>
        </w:rPr>
        <w:t>Токарєв</w:t>
      </w:r>
      <w:r w:rsidR="0085436D" w:rsidRPr="005A5D27">
        <w:rPr>
          <w:rFonts w:ascii="Times New Roman" w:hAnsi="Times New Roman" w:cs="Times New Roman"/>
          <w:lang w:val="uk-UA" w:eastAsia="ru-RU"/>
        </w:rPr>
        <w:t>ої</w:t>
      </w:r>
      <w:proofErr w:type="spellEnd"/>
      <w:r w:rsidR="0085436D" w:rsidRPr="0085436D">
        <w:rPr>
          <w:rFonts w:ascii="Times New Roman" w:hAnsi="Times New Roman" w:cs="Times New Roman"/>
          <w:lang w:val="uk-UA" w:eastAsia="ru-RU"/>
        </w:rPr>
        <w:t xml:space="preserve"> </w:t>
      </w:r>
      <w:proofErr w:type="spellStart"/>
      <w:r w:rsidR="0085436D" w:rsidRPr="0085436D">
        <w:rPr>
          <w:rFonts w:ascii="Times New Roman" w:hAnsi="Times New Roman" w:cs="Times New Roman"/>
          <w:lang w:val="uk-UA" w:eastAsia="ru-RU"/>
        </w:rPr>
        <w:t>Алін</w:t>
      </w:r>
      <w:r w:rsidR="0085436D" w:rsidRPr="005A5D27">
        <w:rPr>
          <w:rFonts w:ascii="Times New Roman" w:hAnsi="Times New Roman" w:cs="Times New Roman"/>
          <w:lang w:val="uk-UA" w:eastAsia="ru-RU"/>
        </w:rPr>
        <w:t>и</w:t>
      </w:r>
      <w:proofErr w:type="spellEnd"/>
      <w:r w:rsidR="0085436D" w:rsidRPr="0085436D">
        <w:rPr>
          <w:rFonts w:ascii="Times New Roman" w:hAnsi="Times New Roman" w:cs="Times New Roman"/>
          <w:lang w:val="uk-UA" w:eastAsia="ru-RU"/>
        </w:rPr>
        <w:t xml:space="preserve"> Вікторівн</w:t>
      </w:r>
      <w:r w:rsidR="00000000">
        <w:rPr>
          <w:rFonts w:ascii="Times New Roman" w:hAnsi="Times New Roman" w:cs="Times New Roman"/>
          <w:lang w:val="uk-UA" w:eastAsia="ru-RU"/>
        </w:rPr>
        <w:fldChar w:fldCharType="end"/>
      </w:r>
      <w:r w:rsidR="0085436D" w:rsidRPr="0085436D">
        <w:rPr>
          <w:rFonts w:ascii="Times New Roman" w:hAnsi="Times New Roman" w:cs="Times New Roman"/>
          <w:lang w:val="uk-UA" w:eastAsia="ru-RU"/>
        </w:rPr>
        <w:t>и</w:t>
      </w:r>
      <w:r w:rsidR="000E73C9" w:rsidRPr="00D63CDD">
        <w:rPr>
          <w:rFonts w:ascii="Times New Roman" w:hAnsi="Times New Roman" w:cs="Times New Roman"/>
          <w:lang w:val="uk-UA" w:eastAsia="ru-RU"/>
        </w:rPr>
        <w:t>, як</w:t>
      </w:r>
      <w:r w:rsidR="005E0ABA" w:rsidRPr="00D63CDD">
        <w:rPr>
          <w:rFonts w:ascii="Times New Roman" w:hAnsi="Times New Roman" w:cs="Times New Roman"/>
          <w:lang w:val="uk-UA" w:eastAsia="ru-RU"/>
        </w:rPr>
        <w:t>а</w:t>
      </w:r>
      <w:r w:rsidR="000E73C9" w:rsidRPr="00D63CDD">
        <w:rPr>
          <w:rFonts w:ascii="Times New Roman" w:hAnsi="Times New Roman" w:cs="Times New Roman"/>
          <w:lang w:val="uk-UA" w:eastAsia="ru-RU"/>
        </w:rPr>
        <w:t xml:space="preserve"> діє на підставі </w:t>
      </w:r>
      <w:r w:rsidR="005E0ABA" w:rsidRPr="00D63CDD">
        <w:rPr>
          <w:rFonts w:ascii="Times New Roman" w:hAnsi="Times New Roman" w:cs="Times New Roman"/>
          <w:lang w:val="uk-UA" w:eastAsia="ru-RU"/>
        </w:rPr>
        <w:t>Статуту</w:t>
      </w:r>
      <w:r w:rsidR="000E73C9" w:rsidRPr="00D63CDD">
        <w:rPr>
          <w:rFonts w:ascii="Times New Roman" w:hAnsi="Times New Roman" w:cs="Times New Roman"/>
          <w:lang w:val="uk-UA" w:eastAsia="ru-RU"/>
        </w:rPr>
        <w:t xml:space="preserve"> з однієї сторони,</w:t>
      </w:r>
      <w:r w:rsidR="0007653D">
        <w:rPr>
          <w:rFonts w:ascii="Times New Roman" w:hAnsi="Times New Roman" w:cs="Times New Roman"/>
          <w:lang w:val="uk-UA" w:eastAsia="ru-RU"/>
        </w:rPr>
        <w:t xml:space="preserve"> </w:t>
      </w:r>
      <w:r w:rsidR="000E73C9" w:rsidRPr="00D63CDD">
        <w:rPr>
          <w:rFonts w:ascii="Times New Roman" w:hAnsi="Times New Roman" w:cs="Times New Roman"/>
          <w:lang w:val="uk-UA" w:eastAsia="ru-RU"/>
        </w:rPr>
        <w:t xml:space="preserve">та </w:t>
      </w:r>
      <w:r w:rsidR="0007653D">
        <w:rPr>
          <w:rFonts w:ascii="Times New Roman" w:hAnsi="Times New Roman" w:cs="Times New Roman"/>
          <w:lang w:val="uk-UA" w:eastAsia="ru-RU"/>
        </w:rPr>
        <w:t xml:space="preserve"> </w:t>
      </w:r>
    </w:p>
    <w:p w14:paraId="16A3D064" w14:textId="0BF5EB5B" w:rsidR="00386154" w:rsidRPr="00D63CDD" w:rsidRDefault="00386154" w:rsidP="000610F2">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_______________________________________________________________________________________________________________________________________________________________________________________________________________________________________ (далі - Користувач), з іншої сторони надалі разом іменовані - Сторони, уклали цей договір-оферту в розумінні ст. 634 ЦК України та ч. 4 ст. 179 ГК України (далі – Договір) про наступне:</w:t>
      </w:r>
    </w:p>
    <w:p w14:paraId="257E41D4" w14:textId="77777777" w:rsidR="00386154" w:rsidRPr="00D63CDD" w:rsidRDefault="00386154" w:rsidP="00012AF0">
      <w:pPr>
        <w:pStyle w:val="a6"/>
        <w:ind w:firstLine="708"/>
        <w:jc w:val="both"/>
        <w:rPr>
          <w:rFonts w:ascii="Times New Roman" w:hAnsi="Times New Roman" w:cs="Times New Roman"/>
          <w:lang w:val="uk-UA"/>
        </w:rPr>
      </w:pPr>
      <w:r w:rsidRPr="00D63CDD">
        <w:rPr>
          <w:rFonts w:ascii="Times New Roman" w:hAnsi="Times New Roman" w:cs="Times New Roman"/>
          <w:lang w:val="uk-UA"/>
        </w:rPr>
        <w:t>1. Загальні положення</w:t>
      </w:r>
    </w:p>
    <w:p w14:paraId="77B03003" w14:textId="5A649383" w:rsidR="000E73C9" w:rsidRPr="00D63CDD" w:rsidRDefault="000E73C9" w:rsidP="00012AF0">
      <w:pPr>
        <w:pStyle w:val="a6"/>
        <w:ind w:firstLine="708"/>
        <w:jc w:val="both"/>
        <w:rPr>
          <w:rFonts w:ascii="Times New Roman" w:hAnsi="Times New Roman" w:cs="Times New Roman"/>
          <w:lang w:val="uk-UA"/>
        </w:rPr>
      </w:pPr>
      <w:r w:rsidRPr="00D63CDD">
        <w:rPr>
          <w:rFonts w:ascii="Times New Roman" w:hAnsi="Times New Roman" w:cs="Times New Roman"/>
          <w:lang w:val="uk-UA"/>
        </w:rPr>
        <w:t xml:space="preserve">1.1. Цей документ являє собою відкриту пропозицію (Оферту) </w:t>
      </w:r>
      <w:r w:rsidR="005B72E6">
        <w:rPr>
          <w:rFonts w:ascii="Times New Roman" w:hAnsi="Times New Roman" w:cs="Times New Roman"/>
          <w:lang w:val="uk-UA"/>
        </w:rPr>
        <w:t xml:space="preserve">ТОВ </w:t>
      </w:r>
      <w:r w:rsidR="005E0ABA" w:rsidRPr="00D63CDD">
        <w:rPr>
          <w:rFonts w:ascii="Times New Roman" w:hAnsi="Times New Roman" w:cs="Times New Roman"/>
          <w:lang w:val="uk-UA"/>
        </w:rPr>
        <w:t>«</w:t>
      </w:r>
      <w:r w:rsidR="00F25F19">
        <w:rPr>
          <w:rFonts w:ascii="Times New Roman" w:hAnsi="Times New Roman" w:cs="Times New Roman"/>
          <w:lang w:val="uk-UA"/>
        </w:rPr>
        <w:t>ЄВРОПЕЙСЬКА</w:t>
      </w:r>
      <w:r w:rsidR="005E0ABA" w:rsidRPr="00D63CDD">
        <w:rPr>
          <w:rFonts w:ascii="Times New Roman" w:hAnsi="Times New Roman" w:cs="Times New Roman"/>
          <w:lang w:val="uk-UA"/>
        </w:rPr>
        <w:t xml:space="preserve">» </w:t>
      </w:r>
      <w:r w:rsidRPr="00D63CDD">
        <w:rPr>
          <w:rFonts w:ascii="Times New Roman" w:hAnsi="Times New Roman" w:cs="Times New Roman"/>
          <w:lang w:val="uk-UA"/>
        </w:rPr>
        <w:t xml:space="preserve">(далі – Оператор Електронного майданчика) щодо укладення Договору про надання послуг (далі - Договір) на викладених у цій Оферті умовах. </w:t>
      </w:r>
    </w:p>
    <w:p w14:paraId="3D2EE6AA" w14:textId="52893363" w:rsidR="00386154" w:rsidRPr="00D63CDD" w:rsidRDefault="00386154" w:rsidP="00012AF0">
      <w:pPr>
        <w:pStyle w:val="a6"/>
        <w:ind w:firstLine="708"/>
        <w:jc w:val="both"/>
        <w:rPr>
          <w:rFonts w:ascii="Times New Roman" w:hAnsi="Times New Roman" w:cs="Times New Roman"/>
          <w:lang w:val="uk-UA"/>
        </w:rPr>
      </w:pPr>
      <w:r w:rsidRPr="00D63CDD">
        <w:rPr>
          <w:rFonts w:ascii="Times New Roman" w:hAnsi="Times New Roman" w:cs="Times New Roman"/>
          <w:lang w:val="uk-UA"/>
        </w:rPr>
        <w:t xml:space="preserve">1.2. Відповідно до Цивільного Кодексу України, в разі прийняття викладених в Оферті умов і оплати послуг, фізична або юридична особа, яка провадить акцепт цієї Оферти, стає Користувачем  </w:t>
      </w:r>
      <w:r w:rsidR="00ED2B22">
        <w:rPr>
          <w:rFonts w:ascii="Times New Roman" w:hAnsi="Times New Roman" w:cs="Times New Roman"/>
          <w:lang w:val="uk-UA"/>
        </w:rPr>
        <w:t>е</w:t>
      </w:r>
      <w:r w:rsidRPr="00D63CDD">
        <w:rPr>
          <w:rFonts w:ascii="Times New Roman" w:hAnsi="Times New Roman" w:cs="Times New Roman"/>
          <w:lang w:val="uk-UA"/>
        </w:rPr>
        <w:t xml:space="preserve">лектронного майданчика. </w:t>
      </w:r>
    </w:p>
    <w:p w14:paraId="4B53E019" w14:textId="77777777" w:rsidR="00386154" w:rsidRPr="00D63CDD" w:rsidRDefault="00386154" w:rsidP="00012AF0">
      <w:pPr>
        <w:pStyle w:val="a6"/>
        <w:ind w:firstLine="708"/>
        <w:jc w:val="both"/>
        <w:rPr>
          <w:rFonts w:ascii="Times New Roman" w:hAnsi="Times New Roman" w:cs="Times New Roman"/>
          <w:lang w:val="uk-UA"/>
        </w:rPr>
      </w:pPr>
      <w:r w:rsidRPr="00D63CDD">
        <w:rPr>
          <w:rFonts w:ascii="Times New Roman" w:hAnsi="Times New Roman" w:cs="Times New Roman"/>
          <w:lang w:val="uk-UA"/>
        </w:rPr>
        <w:t xml:space="preserve">1.3. Відповідно до Постанови Кабінету Міністрів України від 16.12.2015 № 1035 «Про обмеження поставок окремих товарів (робіт, послуг) з тимчасово окупованої території на іншу територію України та/або з іншої території України на тимчасово окуповану територію», в період тимчасовий окупації Договір не може бути укладений з суб`єктами господарювання з місцезнаходженням (місцем проживання) на тимчасово окупованій території. </w:t>
      </w:r>
    </w:p>
    <w:p w14:paraId="6BC8FED7" w14:textId="77777777" w:rsidR="00386154" w:rsidRPr="00D63CDD" w:rsidRDefault="00386154" w:rsidP="00012AF0">
      <w:pPr>
        <w:pStyle w:val="a6"/>
        <w:ind w:firstLine="708"/>
        <w:jc w:val="both"/>
        <w:rPr>
          <w:rFonts w:ascii="Times New Roman" w:hAnsi="Times New Roman" w:cs="Times New Roman"/>
          <w:lang w:val="uk-UA"/>
        </w:rPr>
      </w:pPr>
      <w:r w:rsidRPr="00D63CDD">
        <w:rPr>
          <w:rFonts w:ascii="Times New Roman" w:hAnsi="Times New Roman" w:cs="Times New Roman"/>
          <w:lang w:val="uk-UA"/>
        </w:rPr>
        <w:t xml:space="preserve">1.4. Указом Президента України від 15.05.2017 № 133/2017 введено в дію рішення Ради національної безпеки і оборони України від 28.04.2017 "Про застосування персональних спеціальних економічних та інших обмежувальних заходів (санкцій)" (надалі – Рішення), яким тимчасово обмежено проведення визначених операції певному переліку осіб, які вміщені в Додатку 1 та Додатку 2 до Рішення. </w:t>
      </w:r>
    </w:p>
    <w:p w14:paraId="18E55D31" w14:textId="77777777" w:rsidR="00386154" w:rsidRPr="00D63CDD" w:rsidRDefault="00386154" w:rsidP="00012AF0">
      <w:pPr>
        <w:pStyle w:val="a6"/>
        <w:ind w:firstLine="708"/>
        <w:jc w:val="both"/>
        <w:rPr>
          <w:rFonts w:ascii="Times New Roman" w:hAnsi="Times New Roman" w:cs="Times New Roman"/>
          <w:lang w:val="uk-UA"/>
        </w:rPr>
      </w:pPr>
      <w:r w:rsidRPr="00D63CDD">
        <w:rPr>
          <w:rFonts w:ascii="Times New Roman" w:hAnsi="Times New Roman" w:cs="Times New Roman"/>
          <w:lang w:val="uk-UA"/>
        </w:rPr>
        <w:t xml:space="preserve">1.5. Юридична чи фізична особа, яка провадить акцепт цієї Оферти підтверджує факт, що вона не входить до переліку осіб, щодо яких існують обмеження діяльності на території України та/або про які йде мова в п. 1.2 та п. 1.3. цієї Оферти. </w:t>
      </w:r>
    </w:p>
    <w:p w14:paraId="3234E79C"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2. Предмет Договору</w:t>
      </w:r>
    </w:p>
    <w:p w14:paraId="32A6181A" w14:textId="32BC3A4F"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 xml:space="preserve">2.1. Предметом Договору є надання Оператором доступу до користування електронною торговою системою, яка розміщена за </w:t>
      </w:r>
      <w:proofErr w:type="spellStart"/>
      <w:r w:rsidRPr="00D63CDD">
        <w:rPr>
          <w:rFonts w:ascii="Times New Roman" w:hAnsi="Times New Roman" w:cs="Times New Roman"/>
          <w:lang w:val="uk-UA" w:eastAsia="ru-RU"/>
        </w:rPr>
        <w:t>адресою</w:t>
      </w:r>
      <w:proofErr w:type="spellEnd"/>
      <w:r w:rsidRPr="00D63CDD">
        <w:rPr>
          <w:rFonts w:ascii="Times New Roman" w:hAnsi="Times New Roman" w:cs="Times New Roman"/>
          <w:lang w:val="uk-UA" w:eastAsia="ru-RU"/>
        </w:rPr>
        <w:t xml:space="preserve"> в мережі Інтернет: </w:t>
      </w:r>
      <w:hyperlink r:id="rId6" w:history="1">
        <w:r w:rsidR="005E0ABA" w:rsidRPr="00D63CDD">
          <w:rPr>
            <w:rStyle w:val="a3"/>
            <w:rFonts w:ascii="Times New Roman" w:eastAsia="Times New Roman" w:hAnsi="Times New Roman" w:cs="Times New Roman"/>
            <w:lang w:val="uk-UA" w:eastAsia="ru-RU"/>
          </w:rPr>
          <w:t>https://sale.tbe-birzha.com.ua</w:t>
        </w:r>
      </w:hyperlink>
      <w:r w:rsidRPr="00D63CDD">
        <w:rPr>
          <w:rFonts w:ascii="Times New Roman" w:hAnsi="Times New Roman" w:cs="Times New Roman"/>
          <w:lang w:val="uk-UA" w:eastAsia="ru-RU"/>
        </w:rPr>
        <w:t xml:space="preserve">(далі – ЕТС). Надання доступу Користувачу до ЕТС передбачає серед іншого виконання таких послуг, як послуг з реєстрації Користувача, автоматичного розміщення, отримання і передання інформації, в </w:t>
      </w:r>
      <w:proofErr w:type="spellStart"/>
      <w:r w:rsidRPr="00D63CDD">
        <w:rPr>
          <w:rFonts w:ascii="Times New Roman" w:hAnsi="Times New Roman" w:cs="Times New Roman"/>
          <w:lang w:val="uk-UA" w:eastAsia="ru-RU"/>
        </w:rPr>
        <w:t>т.ч</w:t>
      </w:r>
      <w:proofErr w:type="spellEnd"/>
      <w:r w:rsidRPr="00D63CDD">
        <w:rPr>
          <w:rFonts w:ascii="Times New Roman" w:hAnsi="Times New Roman" w:cs="Times New Roman"/>
          <w:lang w:val="uk-UA" w:eastAsia="ru-RU"/>
        </w:rPr>
        <w:t>.</w:t>
      </w:r>
      <w:r w:rsidR="00B80B75">
        <w:rPr>
          <w:rFonts w:ascii="Times New Roman" w:hAnsi="Times New Roman" w:cs="Times New Roman"/>
          <w:lang w:val="uk-UA" w:eastAsia="ru-RU"/>
        </w:rPr>
        <w:t>,</w:t>
      </w:r>
      <w:r w:rsidRPr="00D63CDD">
        <w:rPr>
          <w:rFonts w:ascii="Times New Roman" w:hAnsi="Times New Roman" w:cs="Times New Roman"/>
          <w:lang w:val="uk-UA" w:eastAsia="ru-RU"/>
        </w:rPr>
        <w:t xml:space="preserve"> але не виключно цінових пропозицій, та документів під час проведення електронних торгів (далі – Послуги), відповідно до обраних Користувачем торгів які розміщені в ЕТС. Інформація про електронні торги в ЕТС також відображаються на інтернет-сайті Електронного майданчика.</w:t>
      </w:r>
    </w:p>
    <w:p w14:paraId="347AAD4D" w14:textId="5353C781" w:rsidR="00386154" w:rsidRPr="00D63CDD" w:rsidRDefault="00386154" w:rsidP="0058083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2.2. Користувач погоджується з умовами і зобов`яз</w:t>
      </w:r>
      <w:r w:rsidR="00F04463" w:rsidRPr="00D63CDD">
        <w:rPr>
          <w:rFonts w:ascii="Times New Roman" w:hAnsi="Times New Roman" w:cs="Times New Roman"/>
          <w:lang w:val="uk-UA" w:eastAsia="ru-RU"/>
        </w:rPr>
        <w:t>ується виконувати Регламент ЕТС.</w:t>
      </w:r>
      <w:r w:rsidRPr="00D63CDD">
        <w:rPr>
          <w:rFonts w:ascii="Times New Roman" w:hAnsi="Times New Roman" w:cs="Times New Roman"/>
          <w:lang w:val="uk-UA" w:eastAsia="ru-RU"/>
        </w:rPr>
        <w:t xml:space="preserve"> Файли Регламенту </w:t>
      </w:r>
      <w:r w:rsidR="00F04463" w:rsidRPr="00D63CDD">
        <w:rPr>
          <w:rFonts w:ascii="Times New Roman" w:hAnsi="Times New Roman" w:cs="Times New Roman"/>
          <w:lang w:val="uk-UA" w:eastAsia="ru-RU"/>
        </w:rPr>
        <w:t xml:space="preserve">ЕТС </w:t>
      </w:r>
      <w:r w:rsidRPr="00D63CDD">
        <w:rPr>
          <w:rFonts w:ascii="Times New Roman" w:hAnsi="Times New Roman" w:cs="Times New Roman"/>
          <w:lang w:val="uk-UA" w:eastAsia="ru-RU"/>
        </w:rPr>
        <w:t xml:space="preserve">розміщені </w:t>
      </w:r>
      <w:r w:rsidR="00F04463" w:rsidRPr="00D63CDD">
        <w:rPr>
          <w:rFonts w:ascii="Times New Roman" w:hAnsi="Times New Roman" w:cs="Times New Roman"/>
          <w:lang w:val="uk-UA" w:eastAsia="ru-RU"/>
        </w:rPr>
        <w:t xml:space="preserve">на електронному майданчику </w:t>
      </w:r>
      <w:r w:rsidRPr="00D63CDD">
        <w:rPr>
          <w:rFonts w:ascii="Times New Roman" w:hAnsi="Times New Roman" w:cs="Times New Roman"/>
          <w:lang w:val="uk-UA" w:eastAsia="ru-RU"/>
        </w:rPr>
        <w:t>у розділі «Регламент», є невід`ємною частиною Договору і Користувач своєю реєстрацією на Електронному майданчику підтверджує свою безумовну згоду до їх дотримання.</w:t>
      </w:r>
      <w:bookmarkStart w:id="0" w:name="n18"/>
      <w:bookmarkEnd w:id="0"/>
    </w:p>
    <w:p w14:paraId="61573ADD" w14:textId="7DCBE6A3"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2.</w:t>
      </w:r>
      <w:r w:rsidR="00580830">
        <w:rPr>
          <w:rFonts w:ascii="Times New Roman" w:hAnsi="Times New Roman" w:cs="Times New Roman"/>
          <w:lang w:val="uk-UA" w:eastAsia="ru-RU"/>
        </w:rPr>
        <w:t>3</w:t>
      </w:r>
      <w:r w:rsidRPr="00D63CDD">
        <w:rPr>
          <w:rFonts w:ascii="Times New Roman" w:hAnsi="Times New Roman" w:cs="Times New Roman"/>
          <w:lang w:val="uk-UA" w:eastAsia="ru-RU"/>
        </w:rPr>
        <w:t>. Реєстрація Користувача на Електронному майданчику здійснюється одним із способів ідентифікації/авторизації:</w:t>
      </w:r>
    </w:p>
    <w:p w14:paraId="67421B07" w14:textId="27EDB980" w:rsidR="00386154" w:rsidRPr="00D63CDD" w:rsidRDefault="00386154" w:rsidP="000610F2">
      <w:pPr>
        <w:pStyle w:val="a6"/>
        <w:jc w:val="both"/>
        <w:rPr>
          <w:rFonts w:ascii="Times New Roman" w:hAnsi="Times New Roman" w:cs="Times New Roman"/>
          <w:lang w:val="uk-UA" w:eastAsia="ru-RU"/>
        </w:rPr>
      </w:pPr>
      <w:r w:rsidRPr="00E418BB">
        <w:rPr>
          <w:rFonts w:ascii="Times New Roman" w:hAnsi="Times New Roman" w:cs="Times New Roman"/>
          <w:lang w:val="uk-UA" w:eastAsia="ru-RU"/>
        </w:rPr>
        <w:t>Для юридичних осіб</w:t>
      </w:r>
      <w:r w:rsidRPr="00D63CDD">
        <w:rPr>
          <w:rFonts w:ascii="Times New Roman" w:hAnsi="Times New Roman" w:cs="Times New Roman"/>
          <w:lang w:val="uk-UA" w:eastAsia="ru-RU"/>
        </w:rPr>
        <w:t>:</w:t>
      </w:r>
      <w:r w:rsidR="00E418BB">
        <w:rPr>
          <w:rFonts w:ascii="Times New Roman" w:hAnsi="Times New Roman" w:cs="Times New Roman"/>
          <w:lang w:val="uk-UA" w:eastAsia="ru-RU"/>
        </w:rPr>
        <w:t xml:space="preserve"> </w:t>
      </w:r>
      <w:r w:rsidRPr="00D63CDD">
        <w:rPr>
          <w:rFonts w:ascii="Times New Roman" w:hAnsi="Times New Roman" w:cs="Times New Roman"/>
          <w:lang w:val="uk-UA" w:eastAsia="ru-RU"/>
        </w:rPr>
        <w:t>підписання та направлення на поштову адресу Оператора формі двох екземплярів даного Договору-оферти у паперовій формі.</w:t>
      </w:r>
    </w:p>
    <w:p w14:paraId="07AEC4EC" w14:textId="3FA734C3" w:rsidR="00386154" w:rsidRPr="00D63CDD" w:rsidRDefault="00386154" w:rsidP="000610F2">
      <w:pPr>
        <w:pStyle w:val="a6"/>
        <w:jc w:val="both"/>
        <w:rPr>
          <w:rFonts w:ascii="Times New Roman" w:hAnsi="Times New Roman" w:cs="Times New Roman"/>
          <w:lang w:val="uk-UA" w:eastAsia="ru-RU"/>
        </w:rPr>
      </w:pPr>
      <w:r w:rsidRPr="00D63CDD">
        <w:rPr>
          <w:rFonts w:ascii="Times New Roman" w:hAnsi="Times New Roman" w:cs="Times New Roman"/>
          <w:lang w:val="uk-UA" w:eastAsia="ru-RU"/>
        </w:rPr>
        <w:t>Для фізичних осіб:</w:t>
      </w:r>
      <w:r w:rsidR="00E418BB">
        <w:rPr>
          <w:rFonts w:ascii="Times New Roman" w:hAnsi="Times New Roman" w:cs="Times New Roman"/>
          <w:lang w:val="uk-UA" w:eastAsia="ru-RU"/>
        </w:rPr>
        <w:t xml:space="preserve"> </w:t>
      </w:r>
      <w:r w:rsidRPr="00D63CDD">
        <w:rPr>
          <w:rFonts w:ascii="Times New Roman" w:hAnsi="Times New Roman" w:cs="Times New Roman"/>
          <w:lang w:val="uk-UA" w:eastAsia="ru-RU"/>
        </w:rPr>
        <w:t>шляхом підписання та направлення на поштову адресу Оператора формі двох екземплярів даного Договору-оферти у паперовій формі.</w:t>
      </w:r>
    </w:p>
    <w:p w14:paraId="56C53613" w14:textId="77777777" w:rsidR="00386154" w:rsidRPr="00D63CDD" w:rsidRDefault="00386154" w:rsidP="000610F2">
      <w:pPr>
        <w:pStyle w:val="a6"/>
        <w:jc w:val="both"/>
        <w:rPr>
          <w:rFonts w:ascii="Times New Roman" w:hAnsi="Times New Roman" w:cs="Times New Roman"/>
          <w:lang w:val="uk-UA" w:eastAsia="ru-RU"/>
        </w:rPr>
      </w:pPr>
      <w:r w:rsidRPr="00D63CDD">
        <w:rPr>
          <w:rFonts w:ascii="Times New Roman" w:hAnsi="Times New Roman" w:cs="Times New Roman"/>
          <w:lang w:val="uk-UA" w:eastAsia="ru-RU"/>
        </w:rPr>
        <w:t>При реєстрації Користувача на Електронному майданчику Оператор перевіряє достовірність ідентифікаційної інформації (до такої інформації можна віднести, зокрема, для українських юридичних осіб – ідентифікаційний код (код ЄДРПОУ), найменування, адреса місцезнаходження, контактна інформація, для фізичних осіб-резидентів – реєстраційний номер облікової картки платника податків, паспортні дані, адреси та контактна інформація), наданої користувачем, що має намір прийняти участь в електронних торгах.</w:t>
      </w:r>
    </w:p>
    <w:p w14:paraId="66B85469" w14:textId="77777777" w:rsidR="00386154" w:rsidRPr="00D63CDD" w:rsidRDefault="00386154" w:rsidP="000610F2">
      <w:pPr>
        <w:pStyle w:val="a6"/>
        <w:jc w:val="both"/>
        <w:rPr>
          <w:rFonts w:ascii="Times New Roman" w:hAnsi="Times New Roman" w:cs="Times New Roman"/>
          <w:lang w:val="uk-UA" w:eastAsia="ru-RU"/>
        </w:rPr>
      </w:pPr>
      <w:r w:rsidRPr="00D63CDD">
        <w:rPr>
          <w:rFonts w:ascii="Times New Roman" w:hAnsi="Times New Roman" w:cs="Times New Roman"/>
          <w:lang w:val="uk-UA" w:eastAsia="ru-RU"/>
        </w:rPr>
        <w:t xml:space="preserve">Учасниками електронних торгів, предметом яких є відступлення права вимоги за кредитними договорами та договорами забезпечення, не можуть бути особи, які є боржниками та/або поручителями за такими кредитами та/або договорами забезпечення виконанні зобов’язання. </w:t>
      </w:r>
      <w:r w:rsidRPr="00D63CDD">
        <w:rPr>
          <w:rFonts w:ascii="Times New Roman" w:hAnsi="Times New Roman" w:cs="Times New Roman"/>
          <w:lang w:val="uk-UA" w:eastAsia="ru-RU"/>
        </w:rPr>
        <w:lastRenderedPageBreak/>
        <w:t>Учасник (потенційний покупець), який має намір прийняти участь у електронних торгах, предметом продажу на яких є право вимоги за кредитними договорами та договорами забезпечення, надає електронному майданчику письмове запевнення, що учасник (потенційний покупець) не є боржником та/або поручителем за відповідними кредитними договорами та/або договорами забезпечення виконання зобов`язання.</w:t>
      </w:r>
    </w:p>
    <w:p w14:paraId="488B345C"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3. Ціна Договору та умови оплати. Акцепт Оферти</w:t>
      </w:r>
    </w:p>
    <w:p w14:paraId="1F647CB3"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3.1. Ціна Договору.</w:t>
      </w:r>
    </w:p>
    <w:p w14:paraId="4C010B51" w14:textId="4575ABAB" w:rsidR="00386154" w:rsidRPr="00D91A45" w:rsidRDefault="00386154" w:rsidP="00D91A45">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3.1.1.</w:t>
      </w:r>
      <w:r w:rsidR="00BE18B8">
        <w:rPr>
          <w:rFonts w:ascii="Times New Roman" w:hAnsi="Times New Roman" w:cs="Times New Roman"/>
          <w:lang w:val="uk-UA" w:eastAsia="ru-RU"/>
        </w:rPr>
        <w:t xml:space="preserve"> </w:t>
      </w:r>
      <w:r w:rsidRPr="00D63CDD">
        <w:rPr>
          <w:rFonts w:ascii="Times New Roman" w:hAnsi="Times New Roman" w:cs="Times New Roman"/>
          <w:lang w:val="uk-UA" w:eastAsia="ru-RU"/>
        </w:rPr>
        <w:t>Ціна Договору становить розмір грошової винагороди, плати за участь та/або реєстраційного внеску в електронних торгах</w:t>
      </w:r>
      <w:r w:rsidR="00D91A45">
        <w:rPr>
          <w:rFonts w:ascii="Times New Roman" w:hAnsi="Times New Roman" w:cs="Times New Roman"/>
          <w:lang w:val="uk-UA" w:eastAsia="ru-RU"/>
        </w:rPr>
        <w:t>,</w:t>
      </w:r>
      <w:r w:rsidRPr="00D63CDD">
        <w:rPr>
          <w:rFonts w:ascii="Times New Roman" w:hAnsi="Times New Roman" w:cs="Times New Roman"/>
          <w:lang w:val="uk-UA" w:eastAsia="ru-RU"/>
        </w:rPr>
        <w:t xml:space="preserve"> які вираховуються та сплачуються відповідно до положень Регламенту ЕТС. Грошова винагорода, яка підлягає сплаті Оператору Електронного майданчика</w:t>
      </w:r>
      <w:r w:rsidR="00BE18B8">
        <w:rPr>
          <w:rFonts w:ascii="Times New Roman" w:hAnsi="Times New Roman" w:cs="Times New Roman"/>
          <w:lang w:val="uk-UA" w:eastAsia="ru-RU"/>
        </w:rPr>
        <w:t>,</w:t>
      </w:r>
      <w:r w:rsidRPr="00D63CDD">
        <w:rPr>
          <w:rFonts w:ascii="Times New Roman" w:hAnsi="Times New Roman" w:cs="Times New Roman"/>
          <w:lang w:val="uk-UA" w:eastAsia="ru-RU"/>
        </w:rPr>
        <w:t xml:space="preserve"> утримується Оператором із частини суми гарантійного внеску після формування системою Протоколу електронних торгів. Право вимоги грошової винагороди у Оператора виникає виключно після формування в системі Протоколу електронних торгів. До моменту формування такого Протоколу в ЕТС право власності на гарантійний внесок належить Користувачу, а сам гарантійний внесок виконує виключно функцію забезпечення. Сума грошової винагороди є додатковою до суми коштів, запропонованої переможцем торгів за кожен придбаний лот. </w:t>
      </w:r>
      <w:r w:rsidR="00D91A45">
        <w:rPr>
          <w:rFonts w:ascii="Times New Roman" w:hAnsi="Times New Roman" w:cs="Times New Roman"/>
          <w:lang w:val="uk-UA" w:eastAsia="ru-RU"/>
        </w:rPr>
        <w:t xml:space="preserve"> </w:t>
      </w:r>
    </w:p>
    <w:p w14:paraId="2E7AF3CC" w14:textId="581AABF2" w:rsidR="00E418BB" w:rsidRPr="00104BDB" w:rsidRDefault="00386154" w:rsidP="00104BDB">
      <w:pPr>
        <w:pStyle w:val="a6"/>
        <w:ind w:firstLine="708"/>
        <w:jc w:val="both"/>
        <w:rPr>
          <w:rFonts w:ascii="Times New Roman" w:hAnsi="Times New Roman" w:cs="Times New Roman"/>
          <w:color w:val="000000" w:themeColor="text1"/>
          <w:lang w:val="uk-UA" w:eastAsia="ru-RU"/>
        </w:rPr>
      </w:pPr>
      <w:r w:rsidRPr="00D63CDD">
        <w:rPr>
          <w:rFonts w:ascii="Times New Roman" w:hAnsi="Times New Roman" w:cs="Times New Roman"/>
          <w:lang w:val="uk-UA" w:eastAsia="ru-RU"/>
        </w:rPr>
        <w:t xml:space="preserve">3.2. У випадку, коли сума внесеного гарантійного внеску менша суми грошової винагороди за результатами проведеного аукціону, Користувач-переможець електронного аукціону зобов`язаний сплатити таку різницю на розрахунковий рахунок Оператора протягом 10 </w:t>
      </w:r>
      <w:r w:rsidRPr="00D63CDD">
        <w:rPr>
          <w:rFonts w:ascii="Times New Roman" w:hAnsi="Times New Roman" w:cs="Times New Roman"/>
          <w:color w:val="000000" w:themeColor="text1"/>
          <w:lang w:val="uk-UA" w:eastAsia="ru-RU"/>
        </w:rPr>
        <w:t>днів з моменту формування Протоколу електронних торгів та виставлення відповідного рахунку Оператором Електронного майданчика.</w:t>
      </w:r>
    </w:p>
    <w:p w14:paraId="49EBD803" w14:textId="308B8D46" w:rsidR="0027374E" w:rsidRPr="00D63CDD" w:rsidRDefault="0027374E" w:rsidP="0090512E">
      <w:pPr>
        <w:pStyle w:val="ab"/>
        <w:ind w:left="0" w:firstLine="708"/>
        <w:rPr>
          <w:b/>
          <w:bCs/>
        </w:rPr>
      </w:pPr>
      <w:r w:rsidRPr="00D63CDD">
        <w:t>3.3. Розмір грошової винагороди</w:t>
      </w:r>
      <w:r w:rsidR="009861BD">
        <w:t xml:space="preserve"> в процедурі </w:t>
      </w:r>
      <w:r w:rsidRPr="00811601">
        <w:rPr>
          <w:b/>
          <w:bCs/>
        </w:rPr>
        <w:t xml:space="preserve"> малої приватизації</w:t>
      </w:r>
      <w:r w:rsidR="009860F8" w:rsidRPr="00D63CDD">
        <w:rPr>
          <w:b/>
          <w:bCs/>
        </w:rPr>
        <w:t xml:space="preserve"> (</w:t>
      </w:r>
      <w:r w:rsidR="006E23BA">
        <w:rPr>
          <w:color w:val="333333"/>
          <w:shd w:val="clear" w:color="auto" w:fill="FFFFFF"/>
        </w:rPr>
        <w:t>вираховується оператором з гарантійного внеску, сплаченого переможцем електронного аукціону протягом 5 робочих днів з дня опублікування протоколу про результати електронного аукціону,</w:t>
      </w:r>
      <w:r w:rsidR="006E23BA">
        <w:rPr>
          <w:color w:val="000000"/>
          <w:shd w:val="clear" w:color="auto" w:fill="FFFFFF"/>
        </w:rPr>
        <w:t xml:space="preserve"> </w:t>
      </w:r>
      <w:r w:rsidR="009860F8" w:rsidRPr="00D63CDD">
        <w:rPr>
          <w:color w:val="000000"/>
          <w:shd w:val="clear" w:color="auto" w:fill="FFFFFF"/>
        </w:rPr>
        <w:t>додатково до суми коштів, запропонованої ним за придбаний ло</w:t>
      </w:r>
      <w:r w:rsidR="009861BD">
        <w:rPr>
          <w:color w:val="000000"/>
          <w:shd w:val="clear" w:color="auto" w:fill="FFFFFF"/>
        </w:rPr>
        <w:t>т</w:t>
      </w:r>
      <w:r w:rsidR="009860F8" w:rsidRPr="00D63CDD">
        <w:rPr>
          <w:color w:val="000000"/>
          <w:shd w:val="clear" w:color="auto" w:fill="FFFFFF"/>
        </w:rPr>
        <w:t>)</w:t>
      </w:r>
      <w:r w:rsidRPr="00D63CDD">
        <w:rPr>
          <w:b/>
          <w:bCs/>
        </w:rPr>
        <w:t xml:space="preserve"> становить:</w:t>
      </w:r>
    </w:p>
    <w:tbl>
      <w:tblPr>
        <w:tblStyle w:val="TableNormal"/>
        <w:tblW w:w="892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8"/>
        <w:gridCol w:w="4253"/>
      </w:tblGrid>
      <w:tr w:rsidR="005A5278" w14:paraId="10EA655B" w14:textId="77777777" w:rsidTr="007C35CC">
        <w:trPr>
          <w:trHeight w:val="398"/>
        </w:trPr>
        <w:tc>
          <w:tcPr>
            <w:tcW w:w="4668" w:type="dxa"/>
            <w:vAlign w:val="center"/>
          </w:tcPr>
          <w:p w14:paraId="2BB1F315" w14:textId="6C1A614D" w:rsidR="005A5278" w:rsidRPr="001B2069" w:rsidRDefault="005A5278" w:rsidP="007C35CC">
            <w:pPr>
              <w:pStyle w:val="ab"/>
              <w:jc w:val="center"/>
              <w:rPr>
                <w:b/>
                <w:bCs/>
                <w:color w:val="000000" w:themeColor="text1"/>
              </w:rPr>
            </w:pPr>
            <w:r w:rsidRPr="001B2069">
              <w:rPr>
                <w:b/>
                <w:bCs/>
                <w:color w:val="000000" w:themeColor="text1"/>
              </w:rPr>
              <w:t>Ціна продажу лоту, грн.</w:t>
            </w:r>
          </w:p>
        </w:tc>
        <w:tc>
          <w:tcPr>
            <w:tcW w:w="4253" w:type="dxa"/>
            <w:vAlign w:val="center"/>
          </w:tcPr>
          <w:p w14:paraId="64C739F4" w14:textId="4032D1C0" w:rsidR="005A5278" w:rsidRPr="001B2069" w:rsidRDefault="005A5278" w:rsidP="007C35CC">
            <w:pPr>
              <w:pStyle w:val="ab"/>
              <w:jc w:val="center"/>
              <w:rPr>
                <w:b/>
                <w:bCs/>
                <w:color w:val="000000" w:themeColor="text1"/>
              </w:rPr>
            </w:pPr>
            <w:r w:rsidRPr="001B2069">
              <w:rPr>
                <w:b/>
                <w:bCs/>
                <w:color w:val="000000" w:themeColor="text1"/>
              </w:rPr>
              <w:t>Плата за участь, з ПДВ</w:t>
            </w:r>
          </w:p>
        </w:tc>
      </w:tr>
      <w:tr w:rsidR="005A5278" w14:paraId="5E59102B" w14:textId="77777777" w:rsidTr="007C35CC">
        <w:trPr>
          <w:trHeight w:val="398"/>
        </w:trPr>
        <w:tc>
          <w:tcPr>
            <w:tcW w:w="4668" w:type="dxa"/>
            <w:vAlign w:val="center"/>
          </w:tcPr>
          <w:p w14:paraId="0B3F0A16" w14:textId="4DBB1530" w:rsidR="005A5278" w:rsidRPr="001B2069" w:rsidRDefault="005A5278" w:rsidP="007C35CC">
            <w:pPr>
              <w:pStyle w:val="ab"/>
              <w:jc w:val="center"/>
            </w:pPr>
            <w:r w:rsidRPr="001B2069">
              <w:t>до 4 000 000,00</w:t>
            </w:r>
          </w:p>
        </w:tc>
        <w:tc>
          <w:tcPr>
            <w:tcW w:w="4253" w:type="dxa"/>
            <w:vAlign w:val="center"/>
          </w:tcPr>
          <w:p w14:paraId="0C72A00C" w14:textId="61266E69" w:rsidR="005A5278" w:rsidRPr="001B2069" w:rsidRDefault="00E418BB" w:rsidP="007C35CC">
            <w:pPr>
              <w:pStyle w:val="ab"/>
              <w:jc w:val="center"/>
            </w:pPr>
            <w:r w:rsidRPr="001B2069">
              <w:t>4 %</w:t>
            </w:r>
          </w:p>
        </w:tc>
      </w:tr>
      <w:tr w:rsidR="005A5278" w14:paraId="67040A07" w14:textId="77777777" w:rsidTr="007C35CC">
        <w:trPr>
          <w:trHeight w:val="398"/>
        </w:trPr>
        <w:tc>
          <w:tcPr>
            <w:tcW w:w="4668" w:type="dxa"/>
            <w:vAlign w:val="center"/>
          </w:tcPr>
          <w:p w14:paraId="19CE2F18" w14:textId="13A1B639" w:rsidR="005A5278" w:rsidRPr="001B2069" w:rsidRDefault="005A5278" w:rsidP="007C35CC">
            <w:pPr>
              <w:pStyle w:val="ab"/>
              <w:jc w:val="center"/>
            </w:pPr>
            <w:r w:rsidRPr="001B2069">
              <w:t>4 000 000,01 – 64 000 000,00</w:t>
            </w:r>
          </w:p>
        </w:tc>
        <w:tc>
          <w:tcPr>
            <w:tcW w:w="4253" w:type="dxa"/>
            <w:vAlign w:val="center"/>
          </w:tcPr>
          <w:p w14:paraId="15F16DA9" w14:textId="753AAF3E" w:rsidR="005A5278" w:rsidRPr="001B2069" w:rsidRDefault="00E418BB" w:rsidP="007C35CC">
            <w:pPr>
              <w:pStyle w:val="ab"/>
              <w:jc w:val="center"/>
            </w:pPr>
            <w:r w:rsidRPr="001B2069">
              <w:t>2,5 %</w:t>
            </w:r>
          </w:p>
        </w:tc>
      </w:tr>
      <w:tr w:rsidR="005A5278" w14:paraId="055CD1F1" w14:textId="77777777" w:rsidTr="007C35CC">
        <w:trPr>
          <w:trHeight w:val="398"/>
        </w:trPr>
        <w:tc>
          <w:tcPr>
            <w:tcW w:w="4668" w:type="dxa"/>
            <w:vAlign w:val="center"/>
          </w:tcPr>
          <w:p w14:paraId="21019EB6" w14:textId="31151404" w:rsidR="005A5278" w:rsidRPr="001B2069" w:rsidRDefault="005A5278" w:rsidP="007C35CC">
            <w:pPr>
              <w:pStyle w:val="ab"/>
              <w:jc w:val="center"/>
            </w:pPr>
            <w:r w:rsidRPr="001B2069">
              <w:t>понад 64 000 000,01</w:t>
            </w:r>
          </w:p>
        </w:tc>
        <w:tc>
          <w:tcPr>
            <w:tcW w:w="4253" w:type="dxa"/>
            <w:vAlign w:val="center"/>
          </w:tcPr>
          <w:p w14:paraId="563282BC" w14:textId="23A86C37" w:rsidR="005A5278" w:rsidRPr="001B2069" w:rsidRDefault="00E418BB" w:rsidP="007C35CC">
            <w:pPr>
              <w:pStyle w:val="ab"/>
              <w:jc w:val="center"/>
            </w:pPr>
            <w:r w:rsidRPr="001B2069">
              <w:t>1 %</w:t>
            </w:r>
          </w:p>
        </w:tc>
      </w:tr>
    </w:tbl>
    <w:p w14:paraId="491BE788" w14:textId="1472CD83" w:rsidR="00012AF0" w:rsidRPr="00D63CDD" w:rsidRDefault="00012AF0" w:rsidP="00012AF0">
      <w:pPr>
        <w:pStyle w:val="ab"/>
        <w:ind w:left="0" w:firstLine="708"/>
        <w:rPr>
          <w:color w:val="000000" w:themeColor="text1"/>
        </w:rPr>
      </w:pPr>
      <w:r w:rsidRPr="00D63CDD">
        <w:rPr>
          <w:color w:val="000000" w:themeColor="text1"/>
        </w:rPr>
        <w:t xml:space="preserve">За участь у електронних торгах з продажу </w:t>
      </w:r>
      <w:r w:rsidRPr="00D63CDD">
        <w:rPr>
          <w:b/>
          <w:bCs/>
        </w:rPr>
        <w:t>об’єктів малої приватизації</w:t>
      </w:r>
      <w:r w:rsidRPr="00D63CDD">
        <w:rPr>
          <w:color w:val="000000" w:themeColor="text1"/>
        </w:rPr>
        <w:t xml:space="preserve"> з учасників справляється </w:t>
      </w:r>
      <w:r w:rsidRPr="00D63CDD">
        <w:rPr>
          <w:color w:val="000000" w:themeColor="text1"/>
          <w:u w:val="single"/>
        </w:rPr>
        <w:t>реєстраційний внесок</w:t>
      </w:r>
      <w:r w:rsidRPr="00D63CDD">
        <w:rPr>
          <w:color w:val="000000" w:themeColor="text1"/>
        </w:rPr>
        <w:t xml:space="preserve"> у наступному розмірі: 0,2 мінімальної заробітної плати станом на 1 січня поточного року.</w:t>
      </w:r>
    </w:p>
    <w:p w14:paraId="509533ED" w14:textId="0DE0E49E" w:rsidR="00A26CD9" w:rsidRDefault="00F06BBF" w:rsidP="00A26CD9">
      <w:pPr>
        <w:pStyle w:val="ab"/>
        <w:ind w:firstLine="708"/>
        <w:rPr>
          <w:color w:val="000000" w:themeColor="text1"/>
        </w:rPr>
      </w:pPr>
      <w:r>
        <w:rPr>
          <w:color w:val="000000" w:themeColor="text1"/>
        </w:rPr>
        <w:t>3.3.1</w:t>
      </w:r>
      <w:r w:rsidR="0027374E" w:rsidRPr="00D63CDD">
        <w:rPr>
          <w:color w:val="000000" w:themeColor="text1"/>
        </w:rPr>
        <w:t>.</w:t>
      </w:r>
      <w:r w:rsidR="0027374E" w:rsidRPr="00D63CDD">
        <w:rPr>
          <w:color w:val="000000" w:themeColor="text1"/>
          <w:spacing w:val="-17"/>
        </w:rPr>
        <w:t xml:space="preserve"> У </w:t>
      </w:r>
      <w:r w:rsidR="0027374E" w:rsidRPr="00D63CDD">
        <w:rPr>
          <w:color w:val="000000" w:themeColor="text1"/>
        </w:rPr>
        <w:t>випадку</w:t>
      </w:r>
      <w:r w:rsidR="00621612" w:rsidRPr="00D63CDD">
        <w:rPr>
          <w:color w:val="000000" w:themeColor="text1"/>
        </w:rPr>
        <w:t xml:space="preserve"> </w:t>
      </w:r>
      <w:r w:rsidR="0027374E" w:rsidRPr="00D63CDD">
        <w:rPr>
          <w:color w:val="000000" w:themeColor="text1"/>
        </w:rPr>
        <w:t>проведення</w:t>
      </w:r>
      <w:r w:rsidR="00621612" w:rsidRPr="00D63CDD">
        <w:rPr>
          <w:color w:val="000000" w:themeColor="text1"/>
        </w:rPr>
        <w:t xml:space="preserve"> </w:t>
      </w:r>
      <w:r w:rsidR="0027374E" w:rsidRPr="00D63CDD">
        <w:rPr>
          <w:color w:val="000000" w:themeColor="text1"/>
        </w:rPr>
        <w:t>електронних</w:t>
      </w:r>
      <w:r w:rsidR="00621612" w:rsidRPr="00D63CDD">
        <w:rPr>
          <w:color w:val="000000" w:themeColor="text1"/>
        </w:rPr>
        <w:t xml:space="preserve"> </w:t>
      </w:r>
      <w:r w:rsidR="0027374E" w:rsidRPr="00D63CDD">
        <w:rPr>
          <w:color w:val="000000" w:themeColor="text1"/>
        </w:rPr>
        <w:t>торгів</w:t>
      </w:r>
      <w:r w:rsidR="00621612" w:rsidRPr="00D63CDD">
        <w:rPr>
          <w:color w:val="000000" w:themeColor="text1"/>
        </w:rPr>
        <w:t xml:space="preserve"> </w:t>
      </w:r>
      <w:r w:rsidR="0027374E" w:rsidRPr="00D63CDD">
        <w:rPr>
          <w:color w:val="000000" w:themeColor="text1"/>
        </w:rPr>
        <w:t>з</w:t>
      </w:r>
      <w:r w:rsidR="00621612" w:rsidRPr="00D63CDD">
        <w:rPr>
          <w:color w:val="000000" w:themeColor="text1"/>
        </w:rPr>
        <w:t xml:space="preserve"> </w:t>
      </w:r>
      <w:r w:rsidR="0027374E" w:rsidRPr="00811601">
        <w:rPr>
          <w:b/>
          <w:bCs/>
          <w:color w:val="000000" w:themeColor="text1"/>
        </w:rPr>
        <w:t>продажу</w:t>
      </w:r>
      <w:r w:rsidR="00621612" w:rsidRPr="00811601">
        <w:rPr>
          <w:b/>
          <w:bCs/>
          <w:color w:val="000000" w:themeColor="text1"/>
        </w:rPr>
        <w:t xml:space="preserve"> </w:t>
      </w:r>
      <w:r w:rsidR="0027374E" w:rsidRPr="00811601">
        <w:rPr>
          <w:b/>
          <w:bCs/>
          <w:color w:val="000000" w:themeColor="text1"/>
        </w:rPr>
        <w:t>державного та/або комунального майна</w:t>
      </w:r>
      <w:r w:rsidR="0027374E" w:rsidRPr="00D63CDD">
        <w:rPr>
          <w:color w:val="000000" w:themeColor="text1"/>
        </w:rPr>
        <w:t>, майна підприємств, установ та організацій</w:t>
      </w:r>
      <w:r w:rsidR="003E15BA">
        <w:rPr>
          <w:color w:val="000000" w:themeColor="text1"/>
        </w:rPr>
        <w:t xml:space="preserve"> </w:t>
      </w:r>
      <w:r w:rsidR="0027374E" w:rsidRPr="00D63CDD">
        <w:rPr>
          <w:color w:val="000000" w:themeColor="text1"/>
        </w:rPr>
        <w:t>державної</w:t>
      </w:r>
      <w:r w:rsidR="003E15BA">
        <w:rPr>
          <w:color w:val="000000" w:themeColor="text1"/>
        </w:rPr>
        <w:t xml:space="preserve"> </w:t>
      </w:r>
      <w:r w:rsidR="0027374E" w:rsidRPr="00D63CDD">
        <w:rPr>
          <w:color w:val="000000" w:themeColor="text1"/>
        </w:rPr>
        <w:t>та</w:t>
      </w:r>
      <w:r w:rsidR="003E15BA">
        <w:rPr>
          <w:color w:val="000000" w:themeColor="text1"/>
        </w:rPr>
        <w:t xml:space="preserve"> </w:t>
      </w:r>
      <w:r w:rsidR="0027374E" w:rsidRPr="00D63CDD">
        <w:rPr>
          <w:color w:val="000000" w:themeColor="text1"/>
        </w:rPr>
        <w:t>комунальної</w:t>
      </w:r>
      <w:r w:rsidR="003E15BA">
        <w:rPr>
          <w:color w:val="000000" w:themeColor="text1"/>
        </w:rPr>
        <w:t xml:space="preserve"> </w:t>
      </w:r>
      <w:r w:rsidR="0027374E" w:rsidRPr="00D63CDD">
        <w:rPr>
          <w:color w:val="000000" w:themeColor="text1"/>
        </w:rPr>
        <w:t>форми</w:t>
      </w:r>
      <w:r w:rsidR="003E15BA">
        <w:rPr>
          <w:color w:val="000000" w:themeColor="text1"/>
        </w:rPr>
        <w:t xml:space="preserve"> </w:t>
      </w:r>
      <w:r w:rsidR="0027374E" w:rsidRPr="00D63CDD">
        <w:rPr>
          <w:color w:val="000000" w:themeColor="text1"/>
        </w:rPr>
        <w:t>власності</w:t>
      </w:r>
      <w:r w:rsidR="003E15BA">
        <w:rPr>
          <w:color w:val="000000" w:themeColor="text1"/>
        </w:rPr>
        <w:t xml:space="preserve"> </w:t>
      </w:r>
      <w:r w:rsidR="0027374E" w:rsidRPr="00D63CDD">
        <w:rPr>
          <w:color w:val="000000" w:themeColor="text1"/>
        </w:rPr>
        <w:t>або</w:t>
      </w:r>
      <w:r w:rsidR="003E15BA">
        <w:rPr>
          <w:color w:val="000000" w:themeColor="text1"/>
        </w:rPr>
        <w:t xml:space="preserve"> </w:t>
      </w:r>
      <w:r w:rsidR="0027374E" w:rsidRPr="00D63CDD">
        <w:rPr>
          <w:color w:val="000000" w:themeColor="text1"/>
        </w:rPr>
        <w:t>державна</w:t>
      </w:r>
      <w:r w:rsidR="003E15BA">
        <w:rPr>
          <w:color w:val="000000" w:themeColor="text1"/>
        </w:rPr>
        <w:t xml:space="preserve"> </w:t>
      </w:r>
      <w:r w:rsidR="0027374E" w:rsidRPr="00D63CDD">
        <w:rPr>
          <w:color w:val="000000" w:themeColor="text1"/>
        </w:rPr>
        <w:t>чи</w:t>
      </w:r>
      <w:r w:rsidR="003E15BA">
        <w:rPr>
          <w:color w:val="000000" w:themeColor="text1"/>
        </w:rPr>
        <w:t xml:space="preserve"> </w:t>
      </w:r>
      <w:r w:rsidR="0027374E" w:rsidRPr="00D63CDD">
        <w:rPr>
          <w:color w:val="000000" w:themeColor="text1"/>
        </w:rPr>
        <w:t>комунальна</w:t>
      </w:r>
      <w:r w:rsidR="003E15BA">
        <w:rPr>
          <w:color w:val="000000" w:themeColor="text1"/>
        </w:rPr>
        <w:t xml:space="preserve"> </w:t>
      </w:r>
      <w:r w:rsidR="0027374E" w:rsidRPr="00D63CDD">
        <w:rPr>
          <w:color w:val="000000" w:themeColor="text1"/>
        </w:rPr>
        <w:t xml:space="preserve">частка у яких перевищує 50 відсотків, </w:t>
      </w:r>
      <w:r w:rsidR="00A26CD9" w:rsidRPr="00A26CD9">
        <w:rPr>
          <w:color w:val="000000" w:themeColor="text1"/>
        </w:rPr>
        <w:t>плату за участь (винагороду) у розмірі, що становить 5 відсотків ціни продажу</w:t>
      </w:r>
      <w:r w:rsidR="00A26CD9">
        <w:rPr>
          <w:color w:val="000000" w:themeColor="text1"/>
          <w:lang w:val="ru-RU"/>
        </w:rPr>
        <w:t xml:space="preserve"> </w:t>
      </w:r>
      <w:r w:rsidR="00A26CD9" w:rsidRPr="00A26CD9">
        <w:rPr>
          <w:color w:val="000000" w:themeColor="text1"/>
        </w:rPr>
        <w:t>лоту (з урахуванням податку на додану вартість).</w:t>
      </w:r>
    </w:p>
    <w:p w14:paraId="07AF4344" w14:textId="31C50941" w:rsidR="00D97490" w:rsidRPr="00A26CD9" w:rsidRDefault="00D97490" w:rsidP="00D97490">
      <w:pPr>
        <w:pStyle w:val="ab"/>
        <w:ind w:firstLine="708"/>
        <w:rPr>
          <w:color w:val="000000" w:themeColor="text1"/>
        </w:rPr>
      </w:pPr>
      <w:r w:rsidRPr="00D97490">
        <w:rPr>
          <w:color w:val="000000" w:themeColor="text1"/>
        </w:rPr>
        <w:t>У випадку невиконання переможцем дій, передбачених п.7.29 Регламенту ЕТС,</w:t>
      </w:r>
      <w:r w:rsidR="00B2550E">
        <w:rPr>
          <w:color w:val="000000" w:themeColor="text1"/>
        </w:rPr>
        <w:t xml:space="preserve"> </w:t>
      </w:r>
      <w:r w:rsidRPr="00D97490">
        <w:rPr>
          <w:color w:val="000000" w:themeColor="text1"/>
        </w:rPr>
        <w:t>плата за участь (винагорода) оператора становить 50 відсотків гарантійного внеску</w:t>
      </w:r>
      <w:r>
        <w:rPr>
          <w:color w:val="000000" w:themeColor="text1"/>
        </w:rPr>
        <w:t xml:space="preserve"> </w:t>
      </w:r>
      <w:r w:rsidRPr="00D97490">
        <w:rPr>
          <w:color w:val="000000" w:themeColor="text1"/>
        </w:rPr>
        <w:t>такого переможця.</w:t>
      </w:r>
    </w:p>
    <w:p w14:paraId="19F11102" w14:textId="31B29D20" w:rsidR="00A26CD9" w:rsidRDefault="00A26CD9" w:rsidP="00496D65">
      <w:pPr>
        <w:pStyle w:val="ab"/>
        <w:ind w:left="0" w:firstLine="993"/>
        <w:rPr>
          <w:color w:val="000000" w:themeColor="text1"/>
        </w:rPr>
      </w:pPr>
      <w:r w:rsidRPr="00A26CD9">
        <w:rPr>
          <w:color w:val="000000" w:themeColor="text1"/>
        </w:rPr>
        <w:t>3.3.2</w:t>
      </w:r>
      <w:r w:rsidR="00B2550E">
        <w:rPr>
          <w:color w:val="000000" w:themeColor="text1"/>
        </w:rPr>
        <w:t>.</w:t>
      </w:r>
      <w:r w:rsidRPr="00A26CD9">
        <w:rPr>
          <w:color w:val="000000" w:themeColor="text1"/>
        </w:rPr>
        <w:t xml:space="preserve"> </w:t>
      </w:r>
      <w:r w:rsidRPr="00D63CDD">
        <w:rPr>
          <w:color w:val="000000" w:themeColor="text1"/>
          <w:spacing w:val="-17"/>
        </w:rPr>
        <w:t xml:space="preserve">У </w:t>
      </w:r>
      <w:r w:rsidRPr="00D63CDD">
        <w:rPr>
          <w:color w:val="000000" w:themeColor="text1"/>
        </w:rPr>
        <w:t xml:space="preserve">випадку проведення електронних торгів з </w:t>
      </w:r>
      <w:r w:rsidRPr="00A26CD9">
        <w:rPr>
          <w:b/>
          <w:bCs/>
          <w:color w:val="000000" w:themeColor="text1"/>
        </w:rPr>
        <w:t>продажу</w:t>
      </w:r>
      <w:r w:rsidR="00B2550E">
        <w:rPr>
          <w:b/>
          <w:bCs/>
          <w:color w:val="000000" w:themeColor="text1"/>
        </w:rPr>
        <w:t xml:space="preserve"> </w:t>
      </w:r>
      <w:r w:rsidRPr="00A26CD9">
        <w:rPr>
          <w:b/>
          <w:color w:val="000000" w:themeColor="text1"/>
        </w:rPr>
        <w:t>приватної форми власності</w:t>
      </w:r>
      <w:r w:rsidR="00B2550E">
        <w:rPr>
          <w:b/>
          <w:color w:val="000000" w:themeColor="text1"/>
        </w:rPr>
        <w:t xml:space="preserve">, </w:t>
      </w:r>
      <w:r w:rsidRPr="00A26CD9">
        <w:rPr>
          <w:color w:val="000000" w:themeColor="text1"/>
        </w:rPr>
        <w:t xml:space="preserve">у яких фізичні особи або юридичні особи приватної форми власності володіють часткою </w:t>
      </w:r>
      <w:r w:rsidRPr="00496D65">
        <w:rPr>
          <w:color w:val="000000" w:themeColor="text1"/>
        </w:rPr>
        <w:t>у розмірі 50 і більше відсотків у статутному капіталі таких суб’єктів</w:t>
      </w:r>
      <w:r w:rsidR="00496D65">
        <w:rPr>
          <w:color w:val="000000" w:themeColor="text1"/>
          <w:lang w:val="ru-RU"/>
        </w:rPr>
        <w:t xml:space="preserve"> </w:t>
      </w:r>
      <w:r w:rsidRPr="00496D65">
        <w:rPr>
          <w:color w:val="000000" w:themeColor="text1"/>
        </w:rPr>
        <w:t>господарювання,</w:t>
      </w:r>
      <w:r w:rsidR="00496D65" w:rsidRPr="00496D65">
        <w:rPr>
          <w:color w:val="000000" w:themeColor="text1"/>
        </w:rPr>
        <w:t xml:space="preserve"> </w:t>
      </w:r>
      <w:r w:rsidR="00496D65">
        <w:rPr>
          <w:color w:val="000000" w:themeColor="text1"/>
          <w:lang w:val="ru-RU"/>
        </w:rPr>
        <w:t xml:space="preserve"> </w:t>
      </w:r>
      <w:r w:rsidR="00496D65" w:rsidRPr="00496D65">
        <w:rPr>
          <w:color w:val="000000" w:themeColor="text1"/>
        </w:rPr>
        <w:t>плата за участь (винагорода) визначається у залежності від кінцевої вартості</w:t>
      </w:r>
      <w:r w:rsidR="00B2550E">
        <w:rPr>
          <w:color w:val="000000" w:themeColor="text1"/>
        </w:rPr>
        <w:t xml:space="preserve"> п</w:t>
      </w:r>
      <w:r w:rsidR="00496D65" w:rsidRPr="00496D65">
        <w:rPr>
          <w:color w:val="000000" w:themeColor="text1"/>
        </w:rPr>
        <w:t>родажу лоту</w:t>
      </w:r>
      <w:r w:rsidR="00B2550E">
        <w:rPr>
          <w:color w:val="000000" w:themeColor="text1"/>
          <w:lang w:val="ru-RU"/>
        </w:rPr>
        <w:t xml:space="preserve"> </w:t>
      </w:r>
      <w:r w:rsidR="00B2550E">
        <w:rPr>
          <w:color w:val="000000" w:themeColor="text1"/>
        </w:rPr>
        <w:t xml:space="preserve">та вираховується </w:t>
      </w:r>
      <w:r w:rsidR="00496D65" w:rsidRPr="00496D65">
        <w:rPr>
          <w:color w:val="000000" w:themeColor="text1"/>
        </w:rPr>
        <w:t>з суми гарантійного внеску переможц</w:t>
      </w:r>
      <w:r w:rsidR="00B2550E">
        <w:rPr>
          <w:color w:val="000000" w:themeColor="text1"/>
        </w:rPr>
        <w:t>я</w:t>
      </w:r>
      <w:r w:rsidR="00496D65" w:rsidRPr="00496D65">
        <w:rPr>
          <w:color w:val="000000" w:themeColor="text1"/>
        </w:rPr>
        <w:t>, у розмірі, що становить (з урахуванням податку на додану вартість):</w:t>
      </w:r>
    </w:p>
    <w:p w14:paraId="6558578E" w14:textId="77777777" w:rsidR="00496D65" w:rsidRPr="00496D65" w:rsidRDefault="00496D65" w:rsidP="00496D65">
      <w:pPr>
        <w:pStyle w:val="ab"/>
        <w:ind w:left="0" w:firstLine="993"/>
        <w:rPr>
          <w:color w:val="000000" w:themeColor="text1"/>
        </w:rPr>
      </w:pPr>
    </w:p>
    <w:tbl>
      <w:tblPr>
        <w:tblStyle w:val="a4"/>
        <w:tblW w:w="9573" w:type="dxa"/>
        <w:tblInd w:w="-34" w:type="dxa"/>
        <w:tblLook w:val="04A0" w:firstRow="1" w:lastRow="0" w:firstColumn="1" w:lastColumn="0" w:noHBand="0" w:noVBand="1"/>
      </w:tblPr>
      <w:tblGrid>
        <w:gridCol w:w="3403"/>
        <w:gridCol w:w="2835"/>
        <w:gridCol w:w="3335"/>
      </w:tblGrid>
      <w:tr w:rsidR="00012AF0" w:rsidRPr="00012AF0" w14:paraId="386DF9F6" w14:textId="77777777" w:rsidTr="009860F8">
        <w:trPr>
          <w:trHeight w:val="332"/>
        </w:trPr>
        <w:tc>
          <w:tcPr>
            <w:tcW w:w="6238" w:type="dxa"/>
            <w:gridSpan w:val="2"/>
            <w:vAlign w:val="center"/>
            <w:hideMark/>
          </w:tcPr>
          <w:p w14:paraId="31C32A6B" w14:textId="77777777" w:rsidR="0027374E" w:rsidRPr="001B2069" w:rsidRDefault="0027374E" w:rsidP="00E418BB">
            <w:pPr>
              <w:pStyle w:val="ab"/>
              <w:jc w:val="center"/>
              <w:rPr>
                <w:b/>
                <w:bCs/>
                <w:color w:val="000000" w:themeColor="text1"/>
              </w:rPr>
            </w:pPr>
            <w:bookmarkStart w:id="1" w:name="_Hlk26347966"/>
            <w:r w:rsidRPr="001B2069">
              <w:rPr>
                <w:b/>
                <w:bCs/>
                <w:color w:val="000000" w:themeColor="text1"/>
              </w:rPr>
              <w:t>Ціна продажу лоту, грн.</w:t>
            </w:r>
          </w:p>
        </w:tc>
        <w:tc>
          <w:tcPr>
            <w:tcW w:w="3335" w:type="dxa"/>
            <w:vMerge w:val="restart"/>
            <w:vAlign w:val="center"/>
            <w:hideMark/>
          </w:tcPr>
          <w:p w14:paraId="273F09F6" w14:textId="77777777" w:rsidR="0027374E" w:rsidRPr="001B2069" w:rsidRDefault="0027374E" w:rsidP="00E418BB">
            <w:pPr>
              <w:pStyle w:val="ab"/>
              <w:jc w:val="center"/>
              <w:rPr>
                <w:b/>
                <w:bCs/>
                <w:color w:val="000000" w:themeColor="text1"/>
              </w:rPr>
            </w:pPr>
            <w:r w:rsidRPr="001B2069">
              <w:rPr>
                <w:b/>
                <w:bCs/>
                <w:color w:val="000000" w:themeColor="text1"/>
              </w:rPr>
              <w:t>% від ціни продажу</w:t>
            </w:r>
          </w:p>
        </w:tc>
      </w:tr>
      <w:tr w:rsidR="00012AF0" w:rsidRPr="00012AF0" w14:paraId="44E22BC5" w14:textId="77777777" w:rsidTr="009860F8">
        <w:trPr>
          <w:trHeight w:val="332"/>
        </w:trPr>
        <w:tc>
          <w:tcPr>
            <w:tcW w:w="3403" w:type="dxa"/>
            <w:vAlign w:val="center"/>
            <w:hideMark/>
          </w:tcPr>
          <w:p w14:paraId="6E1B12CE" w14:textId="77777777" w:rsidR="0027374E" w:rsidRPr="001B2069" w:rsidRDefault="0027374E" w:rsidP="00E418BB">
            <w:pPr>
              <w:pStyle w:val="ab"/>
              <w:jc w:val="center"/>
              <w:rPr>
                <w:color w:val="000000" w:themeColor="text1"/>
              </w:rPr>
            </w:pPr>
            <w:r w:rsidRPr="001B2069">
              <w:rPr>
                <w:color w:val="000000" w:themeColor="text1"/>
              </w:rPr>
              <w:t>від</w:t>
            </w:r>
          </w:p>
        </w:tc>
        <w:tc>
          <w:tcPr>
            <w:tcW w:w="2835" w:type="dxa"/>
            <w:vAlign w:val="center"/>
            <w:hideMark/>
          </w:tcPr>
          <w:p w14:paraId="1FAD4AC5" w14:textId="77777777" w:rsidR="0027374E" w:rsidRPr="001B2069" w:rsidRDefault="0027374E" w:rsidP="00E418BB">
            <w:pPr>
              <w:pStyle w:val="ab"/>
              <w:jc w:val="center"/>
              <w:rPr>
                <w:color w:val="000000" w:themeColor="text1"/>
              </w:rPr>
            </w:pPr>
            <w:r w:rsidRPr="001B2069">
              <w:rPr>
                <w:color w:val="000000" w:themeColor="text1"/>
              </w:rPr>
              <w:t>до</w:t>
            </w:r>
          </w:p>
        </w:tc>
        <w:tc>
          <w:tcPr>
            <w:tcW w:w="3335" w:type="dxa"/>
            <w:vMerge/>
            <w:vAlign w:val="center"/>
            <w:hideMark/>
          </w:tcPr>
          <w:p w14:paraId="561A2AA0" w14:textId="77777777" w:rsidR="0027374E" w:rsidRPr="001B2069" w:rsidRDefault="0027374E" w:rsidP="00E418BB">
            <w:pPr>
              <w:pStyle w:val="ab"/>
              <w:jc w:val="center"/>
              <w:rPr>
                <w:b/>
                <w:bCs/>
                <w:color w:val="000000" w:themeColor="text1"/>
              </w:rPr>
            </w:pPr>
          </w:p>
        </w:tc>
      </w:tr>
      <w:tr w:rsidR="00012AF0" w:rsidRPr="00012AF0" w14:paraId="3EF36EBA" w14:textId="77777777" w:rsidTr="009860F8">
        <w:trPr>
          <w:trHeight w:val="332"/>
        </w:trPr>
        <w:tc>
          <w:tcPr>
            <w:tcW w:w="3403" w:type="dxa"/>
            <w:vAlign w:val="center"/>
            <w:hideMark/>
          </w:tcPr>
          <w:p w14:paraId="33B5F0C5" w14:textId="77777777" w:rsidR="0027374E" w:rsidRPr="001B2069" w:rsidRDefault="0027374E" w:rsidP="00E418BB">
            <w:pPr>
              <w:pStyle w:val="ab"/>
              <w:jc w:val="center"/>
              <w:rPr>
                <w:color w:val="000000" w:themeColor="text1"/>
              </w:rPr>
            </w:pPr>
            <w:r w:rsidRPr="001B2069">
              <w:rPr>
                <w:color w:val="000000" w:themeColor="text1"/>
              </w:rPr>
              <w:t>-</w:t>
            </w:r>
          </w:p>
        </w:tc>
        <w:tc>
          <w:tcPr>
            <w:tcW w:w="2835" w:type="dxa"/>
            <w:vAlign w:val="center"/>
            <w:hideMark/>
          </w:tcPr>
          <w:p w14:paraId="65E284FD" w14:textId="77777777" w:rsidR="0027374E" w:rsidRPr="001B2069" w:rsidRDefault="0027374E" w:rsidP="00E418BB">
            <w:pPr>
              <w:pStyle w:val="ab"/>
              <w:jc w:val="center"/>
              <w:rPr>
                <w:color w:val="000000" w:themeColor="text1"/>
              </w:rPr>
            </w:pPr>
            <w:r w:rsidRPr="001B2069">
              <w:rPr>
                <w:color w:val="000000" w:themeColor="text1"/>
              </w:rPr>
              <w:t>4 000 000</w:t>
            </w:r>
          </w:p>
        </w:tc>
        <w:tc>
          <w:tcPr>
            <w:tcW w:w="3335" w:type="dxa"/>
            <w:vAlign w:val="center"/>
            <w:hideMark/>
          </w:tcPr>
          <w:p w14:paraId="3E14CC6E" w14:textId="77777777" w:rsidR="0027374E" w:rsidRPr="001B2069" w:rsidRDefault="0027374E" w:rsidP="00E418BB">
            <w:pPr>
              <w:pStyle w:val="ab"/>
              <w:jc w:val="center"/>
              <w:rPr>
                <w:color w:val="000000" w:themeColor="text1"/>
              </w:rPr>
            </w:pPr>
            <w:r w:rsidRPr="001B2069">
              <w:rPr>
                <w:color w:val="000000" w:themeColor="text1"/>
              </w:rPr>
              <w:t>5</w:t>
            </w:r>
          </w:p>
        </w:tc>
      </w:tr>
      <w:tr w:rsidR="00012AF0" w:rsidRPr="00012AF0" w14:paraId="403B33EF" w14:textId="77777777" w:rsidTr="009860F8">
        <w:trPr>
          <w:trHeight w:val="332"/>
        </w:trPr>
        <w:tc>
          <w:tcPr>
            <w:tcW w:w="3403" w:type="dxa"/>
            <w:vAlign w:val="center"/>
            <w:hideMark/>
          </w:tcPr>
          <w:p w14:paraId="1BEBBC73" w14:textId="77777777" w:rsidR="0027374E" w:rsidRPr="001B2069" w:rsidRDefault="0027374E" w:rsidP="00E418BB">
            <w:pPr>
              <w:pStyle w:val="ab"/>
              <w:jc w:val="center"/>
              <w:rPr>
                <w:color w:val="000000" w:themeColor="text1"/>
              </w:rPr>
            </w:pPr>
            <w:r w:rsidRPr="001B2069">
              <w:rPr>
                <w:color w:val="000000" w:themeColor="text1"/>
              </w:rPr>
              <w:t>4 000 000</w:t>
            </w:r>
          </w:p>
        </w:tc>
        <w:tc>
          <w:tcPr>
            <w:tcW w:w="2835" w:type="dxa"/>
            <w:vAlign w:val="center"/>
            <w:hideMark/>
          </w:tcPr>
          <w:p w14:paraId="3DA94A50" w14:textId="77777777" w:rsidR="0027374E" w:rsidRPr="001B2069" w:rsidRDefault="0027374E" w:rsidP="00E418BB">
            <w:pPr>
              <w:pStyle w:val="ab"/>
              <w:jc w:val="center"/>
              <w:rPr>
                <w:color w:val="000000" w:themeColor="text1"/>
              </w:rPr>
            </w:pPr>
            <w:r w:rsidRPr="001B2069">
              <w:rPr>
                <w:color w:val="000000" w:themeColor="text1"/>
              </w:rPr>
              <w:t>64 000 000</w:t>
            </w:r>
          </w:p>
        </w:tc>
        <w:tc>
          <w:tcPr>
            <w:tcW w:w="3335" w:type="dxa"/>
            <w:vAlign w:val="center"/>
            <w:hideMark/>
          </w:tcPr>
          <w:p w14:paraId="2294C44B" w14:textId="77777777" w:rsidR="0027374E" w:rsidRPr="001B2069" w:rsidRDefault="0027374E" w:rsidP="00E418BB">
            <w:pPr>
              <w:pStyle w:val="ab"/>
              <w:jc w:val="center"/>
              <w:rPr>
                <w:color w:val="000000" w:themeColor="text1"/>
              </w:rPr>
            </w:pPr>
            <w:r w:rsidRPr="001B2069">
              <w:rPr>
                <w:color w:val="000000" w:themeColor="text1"/>
              </w:rPr>
              <w:t>3</w:t>
            </w:r>
          </w:p>
        </w:tc>
      </w:tr>
      <w:tr w:rsidR="00012AF0" w:rsidRPr="00012AF0" w14:paraId="698E80A3" w14:textId="77777777" w:rsidTr="009860F8">
        <w:trPr>
          <w:trHeight w:val="332"/>
        </w:trPr>
        <w:tc>
          <w:tcPr>
            <w:tcW w:w="3403" w:type="dxa"/>
            <w:vAlign w:val="center"/>
            <w:hideMark/>
          </w:tcPr>
          <w:p w14:paraId="3A4424A0" w14:textId="77777777" w:rsidR="0027374E" w:rsidRPr="001B2069" w:rsidRDefault="0027374E" w:rsidP="00E418BB">
            <w:pPr>
              <w:pStyle w:val="ab"/>
              <w:jc w:val="center"/>
              <w:rPr>
                <w:color w:val="000000" w:themeColor="text1"/>
              </w:rPr>
            </w:pPr>
            <w:r w:rsidRPr="001B2069">
              <w:rPr>
                <w:color w:val="000000" w:themeColor="text1"/>
              </w:rPr>
              <w:t>64 000 000</w:t>
            </w:r>
          </w:p>
        </w:tc>
        <w:tc>
          <w:tcPr>
            <w:tcW w:w="2835" w:type="dxa"/>
            <w:vAlign w:val="center"/>
            <w:hideMark/>
          </w:tcPr>
          <w:p w14:paraId="633DEEEE" w14:textId="77777777" w:rsidR="0027374E" w:rsidRPr="001B2069" w:rsidRDefault="0027374E" w:rsidP="00E418BB">
            <w:pPr>
              <w:pStyle w:val="ab"/>
              <w:jc w:val="center"/>
              <w:rPr>
                <w:color w:val="000000" w:themeColor="text1"/>
              </w:rPr>
            </w:pPr>
            <w:r w:rsidRPr="001B2069">
              <w:rPr>
                <w:color w:val="000000" w:themeColor="text1"/>
              </w:rPr>
              <w:t>-</w:t>
            </w:r>
          </w:p>
        </w:tc>
        <w:tc>
          <w:tcPr>
            <w:tcW w:w="3335" w:type="dxa"/>
            <w:vAlign w:val="center"/>
            <w:hideMark/>
          </w:tcPr>
          <w:p w14:paraId="5A041460" w14:textId="419C5370" w:rsidR="0027374E" w:rsidRPr="001B2069" w:rsidRDefault="006E23BA" w:rsidP="00E418BB">
            <w:pPr>
              <w:pStyle w:val="ab"/>
              <w:jc w:val="center"/>
              <w:rPr>
                <w:color w:val="000000" w:themeColor="text1"/>
              </w:rPr>
            </w:pPr>
            <w:r w:rsidRPr="001B2069">
              <w:rPr>
                <w:color w:val="000000" w:themeColor="text1"/>
              </w:rPr>
              <w:t>2</w:t>
            </w:r>
            <w:r w:rsidR="0027374E" w:rsidRPr="001B2069">
              <w:rPr>
                <w:color w:val="000000" w:themeColor="text1"/>
              </w:rPr>
              <w:t>,5</w:t>
            </w:r>
          </w:p>
        </w:tc>
      </w:tr>
      <w:bookmarkEnd w:id="1"/>
    </w:tbl>
    <w:p w14:paraId="1AE9DE49" w14:textId="77777777" w:rsidR="0090512E" w:rsidRPr="00D63CDD" w:rsidRDefault="0090512E" w:rsidP="00012AF0">
      <w:pPr>
        <w:pStyle w:val="ab"/>
        <w:ind w:left="0" w:firstLine="708"/>
        <w:rPr>
          <w:color w:val="000000" w:themeColor="text1"/>
        </w:rPr>
      </w:pPr>
    </w:p>
    <w:p w14:paraId="35900E6B" w14:textId="77777777" w:rsidR="00D97490" w:rsidRDefault="00D97490" w:rsidP="00012AF0">
      <w:pPr>
        <w:pStyle w:val="ab"/>
        <w:ind w:left="0" w:firstLine="708"/>
        <w:rPr>
          <w:color w:val="000000" w:themeColor="text1"/>
          <w:lang w:val="ru-RU"/>
        </w:rPr>
      </w:pPr>
    </w:p>
    <w:p w14:paraId="7F72B60A" w14:textId="77777777" w:rsidR="00E9574E" w:rsidRDefault="00E9574E" w:rsidP="00012AF0">
      <w:pPr>
        <w:pStyle w:val="ab"/>
        <w:ind w:left="0" w:firstLine="708"/>
        <w:rPr>
          <w:color w:val="000000" w:themeColor="text1"/>
          <w:lang w:val="ru-RU"/>
        </w:rPr>
      </w:pPr>
    </w:p>
    <w:p w14:paraId="2724E140" w14:textId="0B757ED9" w:rsidR="00F06BBF" w:rsidRDefault="00F06BBF" w:rsidP="00012AF0">
      <w:pPr>
        <w:pStyle w:val="ab"/>
        <w:ind w:left="0" w:firstLine="708"/>
        <w:rPr>
          <w:color w:val="000000" w:themeColor="text1"/>
        </w:rPr>
      </w:pPr>
      <w:r>
        <w:rPr>
          <w:color w:val="000000" w:themeColor="text1"/>
          <w:lang w:val="ru-RU"/>
        </w:rPr>
        <w:lastRenderedPageBreak/>
        <w:t>3.3.</w:t>
      </w:r>
      <w:r w:rsidR="00496D65">
        <w:rPr>
          <w:color w:val="000000" w:themeColor="text1"/>
          <w:lang w:val="ru-RU"/>
        </w:rPr>
        <w:t>3</w:t>
      </w:r>
      <w:r>
        <w:rPr>
          <w:color w:val="000000" w:themeColor="text1"/>
          <w:lang w:val="ru-RU"/>
        </w:rPr>
        <w:t xml:space="preserve">. </w:t>
      </w:r>
      <w:r w:rsidR="0027374E" w:rsidRPr="00D63CDD">
        <w:rPr>
          <w:color w:val="000000" w:themeColor="text1"/>
        </w:rPr>
        <w:t xml:space="preserve">За участь у електронних торгах </w:t>
      </w:r>
      <w:r w:rsidR="0027374E" w:rsidRPr="007C35CC">
        <w:rPr>
          <w:bCs/>
          <w:color w:val="000000" w:themeColor="text1"/>
        </w:rPr>
        <w:t>з</w:t>
      </w:r>
      <w:r w:rsidR="0027374E" w:rsidRPr="00D63CDD">
        <w:rPr>
          <w:b/>
          <w:bCs/>
          <w:color w:val="000000" w:themeColor="text1"/>
        </w:rPr>
        <w:t xml:space="preserve"> </w:t>
      </w:r>
      <w:r w:rsidR="0027374E" w:rsidRPr="00811601">
        <w:rPr>
          <w:b/>
          <w:bCs/>
          <w:color w:val="000000" w:themeColor="text1"/>
        </w:rPr>
        <w:t>продажу об’єктів державного та/або комунального майна</w:t>
      </w:r>
      <w:r w:rsidR="0027374E" w:rsidRPr="00D63CDD">
        <w:rPr>
          <w:color w:val="000000" w:themeColor="text1"/>
        </w:rPr>
        <w:t>, майна підприємств, установ та організацій державної та комунальної форми</w:t>
      </w:r>
      <w:r w:rsidR="0097089C" w:rsidRPr="00D63CDD">
        <w:rPr>
          <w:color w:val="000000" w:themeColor="text1"/>
        </w:rPr>
        <w:t xml:space="preserve"> </w:t>
      </w:r>
      <w:r w:rsidR="0027374E" w:rsidRPr="00D63CDD">
        <w:rPr>
          <w:color w:val="000000" w:themeColor="text1"/>
        </w:rPr>
        <w:t>власності</w:t>
      </w:r>
      <w:r w:rsidR="0097089C" w:rsidRPr="00D63CDD">
        <w:rPr>
          <w:color w:val="000000" w:themeColor="text1"/>
        </w:rPr>
        <w:t xml:space="preserve"> </w:t>
      </w:r>
      <w:r w:rsidR="0027374E" w:rsidRPr="00D63CDD">
        <w:rPr>
          <w:color w:val="000000" w:themeColor="text1"/>
        </w:rPr>
        <w:t>або</w:t>
      </w:r>
      <w:r w:rsidR="0097089C" w:rsidRPr="00D63CDD">
        <w:rPr>
          <w:color w:val="000000" w:themeColor="text1"/>
        </w:rPr>
        <w:t xml:space="preserve"> </w:t>
      </w:r>
      <w:r w:rsidR="0027374E" w:rsidRPr="00D63CDD">
        <w:rPr>
          <w:color w:val="000000" w:themeColor="text1"/>
        </w:rPr>
        <w:t>державна</w:t>
      </w:r>
      <w:r w:rsidR="0097089C" w:rsidRPr="00D63CDD">
        <w:rPr>
          <w:color w:val="000000" w:themeColor="text1"/>
        </w:rPr>
        <w:t xml:space="preserve"> </w:t>
      </w:r>
      <w:r w:rsidR="0027374E" w:rsidRPr="00D63CDD">
        <w:rPr>
          <w:color w:val="000000" w:themeColor="text1"/>
        </w:rPr>
        <w:t>чи</w:t>
      </w:r>
      <w:r w:rsidR="0097089C" w:rsidRPr="00D63CDD">
        <w:rPr>
          <w:color w:val="000000" w:themeColor="text1"/>
        </w:rPr>
        <w:t xml:space="preserve"> </w:t>
      </w:r>
      <w:r w:rsidR="0027374E" w:rsidRPr="00D63CDD">
        <w:rPr>
          <w:color w:val="000000" w:themeColor="text1"/>
        </w:rPr>
        <w:t>комунальна</w:t>
      </w:r>
      <w:r w:rsidR="0097089C" w:rsidRPr="00D63CDD">
        <w:rPr>
          <w:color w:val="000000" w:themeColor="text1"/>
        </w:rPr>
        <w:t xml:space="preserve"> </w:t>
      </w:r>
      <w:r w:rsidR="0027374E" w:rsidRPr="00D63CDD">
        <w:rPr>
          <w:color w:val="000000" w:themeColor="text1"/>
        </w:rPr>
        <w:t>частка</w:t>
      </w:r>
      <w:r w:rsidR="0097089C" w:rsidRPr="00D63CDD">
        <w:rPr>
          <w:color w:val="000000" w:themeColor="text1"/>
        </w:rPr>
        <w:t xml:space="preserve"> </w:t>
      </w:r>
      <w:r w:rsidR="0027374E" w:rsidRPr="00D63CDD">
        <w:rPr>
          <w:color w:val="000000" w:themeColor="text1"/>
        </w:rPr>
        <w:t>у</w:t>
      </w:r>
      <w:r w:rsidR="0097089C" w:rsidRPr="00D63CDD">
        <w:rPr>
          <w:color w:val="000000" w:themeColor="text1"/>
        </w:rPr>
        <w:t xml:space="preserve"> </w:t>
      </w:r>
      <w:r w:rsidR="0027374E" w:rsidRPr="00D63CDD">
        <w:rPr>
          <w:color w:val="000000" w:themeColor="text1"/>
        </w:rPr>
        <w:t>яких</w:t>
      </w:r>
      <w:r w:rsidR="0097089C" w:rsidRPr="00D63CDD">
        <w:rPr>
          <w:color w:val="000000" w:themeColor="text1"/>
        </w:rPr>
        <w:t xml:space="preserve"> </w:t>
      </w:r>
      <w:r w:rsidR="0027374E" w:rsidRPr="00D63CDD">
        <w:rPr>
          <w:color w:val="000000" w:themeColor="text1"/>
        </w:rPr>
        <w:t>перевищує</w:t>
      </w:r>
      <w:r w:rsidR="0097089C" w:rsidRPr="00D63CDD">
        <w:rPr>
          <w:color w:val="000000" w:themeColor="text1"/>
        </w:rPr>
        <w:t xml:space="preserve"> </w:t>
      </w:r>
      <w:r w:rsidR="0027374E" w:rsidRPr="00D63CDD">
        <w:rPr>
          <w:color w:val="000000" w:themeColor="text1"/>
        </w:rPr>
        <w:t>50</w:t>
      </w:r>
      <w:r w:rsidR="0097089C" w:rsidRPr="00D63CDD">
        <w:rPr>
          <w:color w:val="000000" w:themeColor="text1"/>
        </w:rPr>
        <w:t xml:space="preserve"> </w:t>
      </w:r>
      <w:r w:rsidR="0027374E" w:rsidRPr="00D63CDD">
        <w:rPr>
          <w:color w:val="000000" w:themeColor="text1"/>
        </w:rPr>
        <w:t>відсотків</w:t>
      </w:r>
      <w:r w:rsidR="0097089C" w:rsidRPr="00D63CDD">
        <w:rPr>
          <w:color w:val="000000" w:themeColor="text1"/>
        </w:rPr>
        <w:t xml:space="preserve"> </w:t>
      </w:r>
      <w:r w:rsidR="0027374E" w:rsidRPr="00D63CDD">
        <w:rPr>
          <w:color w:val="000000" w:themeColor="text1"/>
        </w:rPr>
        <w:t xml:space="preserve">з учасників справляється </w:t>
      </w:r>
      <w:r w:rsidR="0027374E" w:rsidRPr="00D63CDD">
        <w:rPr>
          <w:color w:val="000000" w:themeColor="text1"/>
          <w:u w:val="single"/>
        </w:rPr>
        <w:t>реєстраційний внесок</w:t>
      </w:r>
      <w:r w:rsidR="0027374E" w:rsidRPr="00D63CDD">
        <w:rPr>
          <w:color w:val="000000" w:themeColor="text1"/>
        </w:rPr>
        <w:t xml:space="preserve"> у наступному розмірі:</w:t>
      </w:r>
    </w:p>
    <w:p w14:paraId="448DB56A" w14:textId="77777777" w:rsidR="00D97490" w:rsidRPr="00D63CDD" w:rsidRDefault="00D97490" w:rsidP="00012AF0">
      <w:pPr>
        <w:pStyle w:val="ab"/>
        <w:ind w:left="0" w:firstLine="708"/>
        <w:rPr>
          <w:color w:val="000000" w:themeColor="text1"/>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8"/>
        <w:gridCol w:w="3108"/>
      </w:tblGrid>
      <w:tr w:rsidR="00012AF0" w:rsidRPr="00012AF0" w14:paraId="7B5089F5" w14:textId="77777777" w:rsidTr="009860F8">
        <w:trPr>
          <w:trHeight w:val="552"/>
        </w:trPr>
        <w:tc>
          <w:tcPr>
            <w:tcW w:w="6238" w:type="dxa"/>
          </w:tcPr>
          <w:p w14:paraId="620D66F8" w14:textId="77777777" w:rsidR="0027374E" w:rsidRPr="001B2069" w:rsidRDefault="0027374E" w:rsidP="009860F8">
            <w:pPr>
              <w:pStyle w:val="ab"/>
              <w:jc w:val="center"/>
              <w:rPr>
                <w:b/>
                <w:bCs/>
                <w:color w:val="000000" w:themeColor="text1"/>
              </w:rPr>
            </w:pPr>
            <w:r w:rsidRPr="001B2069">
              <w:rPr>
                <w:b/>
                <w:bCs/>
                <w:color w:val="000000" w:themeColor="text1"/>
              </w:rPr>
              <w:t>Стартова ціна реалізації/стартова орендна</w:t>
            </w:r>
          </w:p>
          <w:p w14:paraId="37342DBB" w14:textId="77777777" w:rsidR="0027374E" w:rsidRPr="001B2069" w:rsidRDefault="0027374E" w:rsidP="009860F8">
            <w:pPr>
              <w:pStyle w:val="ab"/>
              <w:jc w:val="center"/>
              <w:rPr>
                <w:b/>
                <w:bCs/>
                <w:color w:val="000000" w:themeColor="text1"/>
              </w:rPr>
            </w:pPr>
            <w:r w:rsidRPr="001B2069">
              <w:rPr>
                <w:b/>
                <w:bCs/>
                <w:color w:val="000000" w:themeColor="text1"/>
              </w:rPr>
              <w:t>плата, грн.</w:t>
            </w:r>
          </w:p>
        </w:tc>
        <w:tc>
          <w:tcPr>
            <w:tcW w:w="3108" w:type="dxa"/>
          </w:tcPr>
          <w:p w14:paraId="67CB3F84" w14:textId="77777777" w:rsidR="0027374E" w:rsidRPr="001B2069" w:rsidRDefault="0027374E" w:rsidP="009860F8">
            <w:pPr>
              <w:pStyle w:val="ab"/>
              <w:jc w:val="center"/>
              <w:rPr>
                <w:b/>
                <w:bCs/>
                <w:color w:val="000000" w:themeColor="text1"/>
              </w:rPr>
            </w:pPr>
            <w:r w:rsidRPr="001B2069">
              <w:rPr>
                <w:b/>
                <w:bCs/>
                <w:color w:val="000000" w:themeColor="text1"/>
              </w:rPr>
              <w:t>Реєстраційний внесок, грн.</w:t>
            </w:r>
          </w:p>
        </w:tc>
      </w:tr>
      <w:tr w:rsidR="00012AF0" w:rsidRPr="00012AF0" w14:paraId="0163E96E" w14:textId="77777777" w:rsidTr="009860F8">
        <w:trPr>
          <w:trHeight w:val="275"/>
        </w:trPr>
        <w:tc>
          <w:tcPr>
            <w:tcW w:w="6238" w:type="dxa"/>
          </w:tcPr>
          <w:p w14:paraId="5BC9887E" w14:textId="77777777" w:rsidR="0027374E" w:rsidRPr="001B2069" w:rsidRDefault="0027374E" w:rsidP="0027374E">
            <w:pPr>
              <w:pStyle w:val="ab"/>
              <w:rPr>
                <w:color w:val="000000" w:themeColor="text1"/>
              </w:rPr>
            </w:pPr>
            <w:r w:rsidRPr="001B2069">
              <w:rPr>
                <w:color w:val="000000" w:themeColor="text1"/>
              </w:rPr>
              <w:t>До 20 000</w:t>
            </w:r>
          </w:p>
        </w:tc>
        <w:tc>
          <w:tcPr>
            <w:tcW w:w="3108" w:type="dxa"/>
          </w:tcPr>
          <w:p w14:paraId="5D8639CA" w14:textId="77777777" w:rsidR="0027374E" w:rsidRPr="001B2069" w:rsidRDefault="0027374E" w:rsidP="0027374E">
            <w:pPr>
              <w:pStyle w:val="ab"/>
              <w:rPr>
                <w:color w:val="000000" w:themeColor="text1"/>
              </w:rPr>
            </w:pPr>
            <w:r w:rsidRPr="001B2069">
              <w:rPr>
                <w:color w:val="000000" w:themeColor="text1"/>
              </w:rPr>
              <w:t>17</w:t>
            </w:r>
          </w:p>
        </w:tc>
      </w:tr>
      <w:tr w:rsidR="00012AF0" w:rsidRPr="00012AF0" w14:paraId="17449DA3" w14:textId="77777777" w:rsidTr="009860F8">
        <w:trPr>
          <w:trHeight w:val="275"/>
        </w:trPr>
        <w:tc>
          <w:tcPr>
            <w:tcW w:w="6238" w:type="dxa"/>
          </w:tcPr>
          <w:p w14:paraId="70FEDBC7" w14:textId="77777777" w:rsidR="0027374E" w:rsidRPr="001B2069" w:rsidRDefault="0027374E" w:rsidP="0027374E">
            <w:pPr>
              <w:pStyle w:val="ab"/>
              <w:rPr>
                <w:color w:val="000000" w:themeColor="text1"/>
              </w:rPr>
            </w:pPr>
            <w:r w:rsidRPr="001B2069">
              <w:rPr>
                <w:color w:val="000000" w:themeColor="text1"/>
              </w:rPr>
              <w:t>До 50 000</w:t>
            </w:r>
          </w:p>
        </w:tc>
        <w:tc>
          <w:tcPr>
            <w:tcW w:w="3108" w:type="dxa"/>
          </w:tcPr>
          <w:p w14:paraId="7C4251AF" w14:textId="77777777" w:rsidR="0027374E" w:rsidRPr="001B2069" w:rsidRDefault="0027374E" w:rsidP="0027374E">
            <w:pPr>
              <w:pStyle w:val="ab"/>
              <w:rPr>
                <w:color w:val="000000" w:themeColor="text1"/>
              </w:rPr>
            </w:pPr>
            <w:r w:rsidRPr="001B2069">
              <w:rPr>
                <w:color w:val="000000" w:themeColor="text1"/>
              </w:rPr>
              <w:t>119</w:t>
            </w:r>
          </w:p>
        </w:tc>
      </w:tr>
      <w:tr w:rsidR="00012AF0" w:rsidRPr="00012AF0" w14:paraId="12BD26A5" w14:textId="77777777" w:rsidTr="009860F8">
        <w:trPr>
          <w:trHeight w:val="275"/>
        </w:trPr>
        <w:tc>
          <w:tcPr>
            <w:tcW w:w="6238" w:type="dxa"/>
          </w:tcPr>
          <w:p w14:paraId="3E6041D1" w14:textId="77777777" w:rsidR="0027374E" w:rsidRPr="001B2069" w:rsidRDefault="0027374E" w:rsidP="0027374E">
            <w:pPr>
              <w:pStyle w:val="ab"/>
              <w:rPr>
                <w:color w:val="000000" w:themeColor="text1"/>
              </w:rPr>
            </w:pPr>
            <w:r w:rsidRPr="001B2069">
              <w:rPr>
                <w:color w:val="000000" w:themeColor="text1"/>
              </w:rPr>
              <w:t>До 200 000</w:t>
            </w:r>
          </w:p>
        </w:tc>
        <w:tc>
          <w:tcPr>
            <w:tcW w:w="3108" w:type="dxa"/>
          </w:tcPr>
          <w:p w14:paraId="0DC9D355" w14:textId="77777777" w:rsidR="0027374E" w:rsidRPr="001B2069" w:rsidRDefault="0027374E" w:rsidP="0027374E">
            <w:pPr>
              <w:pStyle w:val="ab"/>
              <w:rPr>
                <w:color w:val="000000" w:themeColor="text1"/>
              </w:rPr>
            </w:pPr>
            <w:r w:rsidRPr="001B2069">
              <w:rPr>
                <w:color w:val="000000" w:themeColor="text1"/>
              </w:rPr>
              <w:t>340</w:t>
            </w:r>
          </w:p>
        </w:tc>
      </w:tr>
      <w:tr w:rsidR="00012AF0" w:rsidRPr="00012AF0" w14:paraId="12EEB1D2" w14:textId="77777777" w:rsidTr="009860F8">
        <w:trPr>
          <w:trHeight w:val="277"/>
        </w:trPr>
        <w:tc>
          <w:tcPr>
            <w:tcW w:w="6238" w:type="dxa"/>
          </w:tcPr>
          <w:p w14:paraId="7D803558" w14:textId="77777777" w:rsidR="0027374E" w:rsidRPr="001B2069" w:rsidRDefault="0027374E" w:rsidP="0027374E">
            <w:pPr>
              <w:pStyle w:val="ab"/>
              <w:rPr>
                <w:color w:val="000000" w:themeColor="text1"/>
              </w:rPr>
            </w:pPr>
            <w:r w:rsidRPr="001B2069">
              <w:rPr>
                <w:color w:val="000000" w:themeColor="text1"/>
              </w:rPr>
              <w:t>До 1 000 000</w:t>
            </w:r>
          </w:p>
        </w:tc>
        <w:tc>
          <w:tcPr>
            <w:tcW w:w="3108" w:type="dxa"/>
          </w:tcPr>
          <w:p w14:paraId="3A8B7405" w14:textId="77777777" w:rsidR="0027374E" w:rsidRPr="001B2069" w:rsidRDefault="0027374E" w:rsidP="0027374E">
            <w:pPr>
              <w:pStyle w:val="ab"/>
              <w:rPr>
                <w:color w:val="000000" w:themeColor="text1"/>
              </w:rPr>
            </w:pPr>
            <w:r w:rsidRPr="001B2069">
              <w:rPr>
                <w:color w:val="000000" w:themeColor="text1"/>
              </w:rPr>
              <w:t>510</w:t>
            </w:r>
          </w:p>
        </w:tc>
      </w:tr>
      <w:tr w:rsidR="00012AF0" w:rsidRPr="00012AF0" w14:paraId="6160AFD8" w14:textId="77777777" w:rsidTr="009860F8">
        <w:trPr>
          <w:trHeight w:val="275"/>
        </w:trPr>
        <w:tc>
          <w:tcPr>
            <w:tcW w:w="6238" w:type="dxa"/>
          </w:tcPr>
          <w:p w14:paraId="6A287C22" w14:textId="77777777" w:rsidR="0027374E" w:rsidRPr="001B2069" w:rsidRDefault="0027374E" w:rsidP="0027374E">
            <w:pPr>
              <w:pStyle w:val="ab"/>
              <w:rPr>
                <w:color w:val="000000" w:themeColor="text1"/>
              </w:rPr>
            </w:pPr>
            <w:r w:rsidRPr="001B2069">
              <w:rPr>
                <w:color w:val="000000" w:themeColor="text1"/>
              </w:rPr>
              <w:t>Понад 1 000 000</w:t>
            </w:r>
          </w:p>
        </w:tc>
        <w:tc>
          <w:tcPr>
            <w:tcW w:w="3108" w:type="dxa"/>
          </w:tcPr>
          <w:p w14:paraId="2E2F230F" w14:textId="77777777" w:rsidR="0027374E" w:rsidRPr="001B2069" w:rsidRDefault="0027374E" w:rsidP="0027374E">
            <w:pPr>
              <w:pStyle w:val="ab"/>
              <w:rPr>
                <w:color w:val="000000" w:themeColor="text1"/>
              </w:rPr>
            </w:pPr>
            <w:r w:rsidRPr="001B2069">
              <w:rPr>
                <w:color w:val="000000" w:themeColor="text1"/>
              </w:rPr>
              <w:t>1 700</w:t>
            </w:r>
          </w:p>
        </w:tc>
      </w:tr>
    </w:tbl>
    <w:p w14:paraId="69A73E04" w14:textId="77777777" w:rsidR="00F06BBF" w:rsidRDefault="00F06BBF" w:rsidP="0097089C">
      <w:pPr>
        <w:pStyle w:val="a6"/>
        <w:ind w:firstLine="708"/>
        <w:jc w:val="both"/>
        <w:rPr>
          <w:rFonts w:ascii="Times New Roman" w:hAnsi="Times New Roman" w:cs="Times New Roman"/>
          <w:lang w:val="uk-UA" w:eastAsia="ru-RU"/>
        </w:rPr>
      </w:pPr>
    </w:p>
    <w:p w14:paraId="7C5FDA55" w14:textId="40335764" w:rsidR="000E018C" w:rsidRPr="00D63CDD" w:rsidRDefault="008970FD" w:rsidP="008970FD">
      <w:pPr>
        <w:pStyle w:val="ab"/>
        <w:ind w:left="0" w:firstLine="708"/>
        <w:rPr>
          <w:color w:val="000000" w:themeColor="text1"/>
        </w:rPr>
      </w:pPr>
      <w:r w:rsidRPr="00D63CDD">
        <w:rPr>
          <w:lang w:eastAsia="ru-RU"/>
        </w:rPr>
        <w:t>3.3.</w:t>
      </w:r>
      <w:r w:rsidR="00496D65">
        <w:rPr>
          <w:lang w:val="ru-RU" w:eastAsia="ru-RU"/>
        </w:rPr>
        <w:t>4</w:t>
      </w:r>
      <w:r w:rsidRPr="00D63CDD">
        <w:rPr>
          <w:lang w:eastAsia="ru-RU"/>
        </w:rPr>
        <w:t>.</w:t>
      </w:r>
      <w:r w:rsidRPr="00D63CDD">
        <w:rPr>
          <w:color w:val="000000" w:themeColor="text1"/>
          <w:spacing w:val="-17"/>
        </w:rPr>
        <w:t xml:space="preserve">У </w:t>
      </w:r>
      <w:r w:rsidRPr="00D63CDD">
        <w:rPr>
          <w:color w:val="000000" w:themeColor="text1"/>
        </w:rPr>
        <w:t>випадку</w:t>
      </w:r>
      <w:r w:rsidR="000B6847" w:rsidRPr="00D63CDD">
        <w:rPr>
          <w:color w:val="000000" w:themeColor="text1"/>
        </w:rPr>
        <w:t xml:space="preserve"> </w:t>
      </w:r>
      <w:r w:rsidRPr="00D63CDD">
        <w:rPr>
          <w:color w:val="000000" w:themeColor="text1"/>
        </w:rPr>
        <w:t>проведення</w:t>
      </w:r>
      <w:r w:rsidR="000B6847" w:rsidRPr="00D63CDD">
        <w:rPr>
          <w:color w:val="000000" w:themeColor="text1"/>
        </w:rPr>
        <w:t xml:space="preserve"> </w:t>
      </w:r>
      <w:r w:rsidRPr="00D63CDD">
        <w:rPr>
          <w:color w:val="000000" w:themeColor="text1"/>
        </w:rPr>
        <w:t>електронних</w:t>
      </w:r>
      <w:r w:rsidR="000B6847" w:rsidRPr="00D63CDD">
        <w:rPr>
          <w:color w:val="000000" w:themeColor="text1"/>
        </w:rPr>
        <w:t xml:space="preserve"> </w:t>
      </w:r>
      <w:r w:rsidRPr="00D63CDD">
        <w:rPr>
          <w:color w:val="000000" w:themeColor="text1"/>
        </w:rPr>
        <w:t>торгів</w:t>
      </w:r>
      <w:r w:rsidR="000B6847" w:rsidRPr="00D63CDD">
        <w:rPr>
          <w:color w:val="000000" w:themeColor="text1"/>
        </w:rPr>
        <w:t xml:space="preserve"> </w:t>
      </w:r>
      <w:r w:rsidRPr="00D63CDD">
        <w:rPr>
          <w:color w:val="000000" w:themeColor="text1"/>
        </w:rPr>
        <w:t>з</w:t>
      </w:r>
      <w:r w:rsidR="000B6847" w:rsidRPr="00D63CDD">
        <w:rPr>
          <w:color w:val="000000" w:themeColor="text1"/>
        </w:rPr>
        <w:t xml:space="preserve"> </w:t>
      </w:r>
      <w:r w:rsidRPr="00811601">
        <w:rPr>
          <w:b/>
          <w:bCs/>
          <w:color w:val="000000" w:themeColor="text1"/>
        </w:rPr>
        <w:t>продажу</w:t>
      </w:r>
      <w:r w:rsidR="0048487D" w:rsidRPr="00811601">
        <w:rPr>
          <w:b/>
          <w:bCs/>
          <w:color w:val="000000" w:themeColor="text1"/>
        </w:rPr>
        <w:t xml:space="preserve"> </w:t>
      </w:r>
      <w:r w:rsidRPr="00811601">
        <w:rPr>
          <w:b/>
          <w:bCs/>
          <w:color w:val="000000" w:themeColor="text1"/>
        </w:rPr>
        <w:t>майна підприємств - банкрутів</w:t>
      </w:r>
      <w:r w:rsidRPr="00D63CDD">
        <w:rPr>
          <w:color w:val="000000" w:themeColor="text1"/>
        </w:rPr>
        <w:t>, винагорода визначається у залежності від кінцевої вартості продажу лоту</w:t>
      </w:r>
      <w:r w:rsidR="000E018C" w:rsidRPr="00D63CDD">
        <w:rPr>
          <w:color w:val="000000" w:themeColor="text1"/>
        </w:rPr>
        <w:t xml:space="preserve"> </w:t>
      </w:r>
      <w:r w:rsidR="009860F8" w:rsidRPr="00D63CDD">
        <w:rPr>
          <w:color w:val="000000" w:themeColor="text1"/>
        </w:rPr>
        <w:t xml:space="preserve">отримується оператором </w:t>
      </w:r>
      <w:r w:rsidR="001266E5" w:rsidRPr="00D63CDD">
        <w:rPr>
          <w:color w:val="000000" w:themeColor="text1"/>
        </w:rPr>
        <w:t>з суми гарантійного внеску</w:t>
      </w:r>
      <w:r w:rsidRPr="00D63CDD">
        <w:rPr>
          <w:color w:val="000000" w:themeColor="text1"/>
        </w:rPr>
        <w:t xml:space="preserve"> за наступним алгоритмом:</w:t>
      </w:r>
    </w:p>
    <w:tbl>
      <w:tblPr>
        <w:tblStyle w:val="a4"/>
        <w:tblW w:w="9573" w:type="dxa"/>
        <w:tblInd w:w="-34" w:type="dxa"/>
        <w:tblLook w:val="04A0" w:firstRow="1" w:lastRow="0" w:firstColumn="1" w:lastColumn="0" w:noHBand="0" w:noVBand="1"/>
      </w:tblPr>
      <w:tblGrid>
        <w:gridCol w:w="2836"/>
        <w:gridCol w:w="2976"/>
        <w:gridCol w:w="3761"/>
      </w:tblGrid>
      <w:tr w:rsidR="00E82A37" w:rsidRPr="00012AF0" w14:paraId="1D34516D" w14:textId="77777777" w:rsidTr="00E82A37">
        <w:trPr>
          <w:trHeight w:val="332"/>
        </w:trPr>
        <w:tc>
          <w:tcPr>
            <w:tcW w:w="5812" w:type="dxa"/>
            <w:gridSpan w:val="2"/>
            <w:vAlign w:val="center"/>
            <w:hideMark/>
          </w:tcPr>
          <w:p w14:paraId="0447F72D" w14:textId="77777777" w:rsidR="008970FD" w:rsidRPr="001B2069" w:rsidRDefault="008970FD" w:rsidP="00E418BB">
            <w:pPr>
              <w:pStyle w:val="ab"/>
              <w:jc w:val="center"/>
              <w:rPr>
                <w:b/>
                <w:bCs/>
                <w:color w:val="000000" w:themeColor="text1"/>
              </w:rPr>
            </w:pPr>
            <w:r w:rsidRPr="001B2069">
              <w:rPr>
                <w:b/>
                <w:bCs/>
                <w:color w:val="000000" w:themeColor="text1"/>
              </w:rPr>
              <w:t xml:space="preserve">Ціна продажу лоту, </w:t>
            </w:r>
            <w:r w:rsidR="00E82A37" w:rsidRPr="001B2069">
              <w:rPr>
                <w:b/>
                <w:bCs/>
                <w:color w:val="000000" w:themeColor="text1"/>
              </w:rPr>
              <w:t xml:space="preserve">у тисячах розмірів прожиткового мінімуму, встановленого з працездатних осіб, </w:t>
            </w:r>
            <w:r w:rsidRPr="001B2069">
              <w:rPr>
                <w:b/>
                <w:bCs/>
                <w:color w:val="000000" w:themeColor="text1"/>
              </w:rPr>
              <w:t>грн.</w:t>
            </w:r>
          </w:p>
        </w:tc>
        <w:tc>
          <w:tcPr>
            <w:tcW w:w="3761" w:type="dxa"/>
            <w:vMerge w:val="restart"/>
            <w:vAlign w:val="center"/>
            <w:hideMark/>
          </w:tcPr>
          <w:p w14:paraId="57E23C68" w14:textId="77777777" w:rsidR="008970FD" w:rsidRPr="001B2069" w:rsidRDefault="008970FD" w:rsidP="00E418BB">
            <w:pPr>
              <w:pStyle w:val="ab"/>
              <w:jc w:val="center"/>
              <w:rPr>
                <w:b/>
                <w:bCs/>
                <w:color w:val="000000" w:themeColor="text1"/>
              </w:rPr>
            </w:pPr>
            <w:r w:rsidRPr="001B2069">
              <w:rPr>
                <w:b/>
                <w:bCs/>
                <w:color w:val="000000" w:themeColor="text1"/>
              </w:rPr>
              <w:t>% від ціни продажу</w:t>
            </w:r>
          </w:p>
        </w:tc>
      </w:tr>
      <w:tr w:rsidR="00E82A37" w:rsidRPr="00012AF0" w14:paraId="302AC4E3" w14:textId="77777777" w:rsidTr="00E82A37">
        <w:trPr>
          <w:trHeight w:val="332"/>
        </w:trPr>
        <w:tc>
          <w:tcPr>
            <w:tcW w:w="2836" w:type="dxa"/>
            <w:vAlign w:val="center"/>
            <w:hideMark/>
          </w:tcPr>
          <w:p w14:paraId="7B248ECC" w14:textId="77777777" w:rsidR="008970FD" w:rsidRPr="001B2069" w:rsidRDefault="008970FD" w:rsidP="00EB3A9F">
            <w:pPr>
              <w:pStyle w:val="ab"/>
              <w:rPr>
                <w:color w:val="000000" w:themeColor="text1"/>
              </w:rPr>
            </w:pPr>
            <w:r w:rsidRPr="001B2069">
              <w:rPr>
                <w:color w:val="000000" w:themeColor="text1"/>
              </w:rPr>
              <w:t>від</w:t>
            </w:r>
          </w:p>
        </w:tc>
        <w:tc>
          <w:tcPr>
            <w:tcW w:w="2976" w:type="dxa"/>
            <w:vAlign w:val="center"/>
            <w:hideMark/>
          </w:tcPr>
          <w:p w14:paraId="44871DE6" w14:textId="77777777" w:rsidR="008970FD" w:rsidRPr="001B2069" w:rsidRDefault="008970FD" w:rsidP="00E418BB">
            <w:pPr>
              <w:pStyle w:val="ab"/>
              <w:jc w:val="center"/>
              <w:rPr>
                <w:color w:val="000000" w:themeColor="text1"/>
              </w:rPr>
            </w:pPr>
            <w:r w:rsidRPr="001B2069">
              <w:rPr>
                <w:color w:val="000000" w:themeColor="text1"/>
              </w:rPr>
              <w:t>до</w:t>
            </w:r>
          </w:p>
        </w:tc>
        <w:tc>
          <w:tcPr>
            <w:tcW w:w="3761" w:type="dxa"/>
            <w:vMerge/>
            <w:vAlign w:val="center"/>
            <w:hideMark/>
          </w:tcPr>
          <w:p w14:paraId="0E92C8B7" w14:textId="77777777" w:rsidR="008970FD" w:rsidRPr="001B2069" w:rsidRDefault="008970FD" w:rsidP="00E418BB">
            <w:pPr>
              <w:pStyle w:val="ab"/>
              <w:jc w:val="center"/>
              <w:rPr>
                <w:b/>
                <w:bCs/>
                <w:color w:val="000000" w:themeColor="text1"/>
              </w:rPr>
            </w:pPr>
          </w:p>
        </w:tc>
      </w:tr>
      <w:tr w:rsidR="00E82A37" w:rsidRPr="00012AF0" w14:paraId="0B12A298" w14:textId="77777777" w:rsidTr="00E82A37">
        <w:trPr>
          <w:trHeight w:val="332"/>
        </w:trPr>
        <w:tc>
          <w:tcPr>
            <w:tcW w:w="2836" w:type="dxa"/>
            <w:vAlign w:val="center"/>
          </w:tcPr>
          <w:p w14:paraId="73CFF8FA" w14:textId="77777777" w:rsidR="008970FD" w:rsidRPr="001B2069" w:rsidRDefault="00E82A37" w:rsidP="00EB3A9F">
            <w:pPr>
              <w:pStyle w:val="ab"/>
              <w:rPr>
                <w:color w:val="000000" w:themeColor="text1"/>
              </w:rPr>
            </w:pPr>
            <w:r w:rsidRPr="001B2069">
              <w:rPr>
                <w:color w:val="000000" w:themeColor="text1"/>
              </w:rPr>
              <w:t>-</w:t>
            </w:r>
          </w:p>
        </w:tc>
        <w:tc>
          <w:tcPr>
            <w:tcW w:w="2976" w:type="dxa"/>
            <w:vAlign w:val="center"/>
          </w:tcPr>
          <w:p w14:paraId="0C8F77B9" w14:textId="77777777" w:rsidR="008970FD" w:rsidRPr="001B2069" w:rsidRDefault="00E82A37" w:rsidP="00E418BB">
            <w:pPr>
              <w:pStyle w:val="ab"/>
              <w:jc w:val="center"/>
              <w:rPr>
                <w:color w:val="000000" w:themeColor="text1"/>
              </w:rPr>
            </w:pPr>
            <w:r w:rsidRPr="001B2069">
              <w:rPr>
                <w:color w:val="000000" w:themeColor="text1"/>
              </w:rPr>
              <w:t>2</w:t>
            </w:r>
          </w:p>
        </w:tc>
        <w:tc>
          <w:tcPr>
            <w:tcW w:w="3761" w:type="dxa"/>
            <w:vAlign w:val="center"/>
          </w:tcPr>
          <w:p w14:paraId="76F0B312" w14:textId="77777777" w:rsidR="008970FD" w:rsidRPr="001B2069" w:rsidRDefault="00E82A37" w:rsidP="00E418BB">
            <w:pPr>
              <w:pStyle w:val="ab"/>
              <w:jc w:val="center"/>
              <w:rPr>
                <w:color w:val="000000" w:themeColor="text1"/>
              </w:rPr>
            </w:pPr>
            <w:r w:rsidRPr="001B2069">
              <w:rPr>
                <w:color w:val="000000" w:themeColor="text1"/>
              </w:rPr>
              <w:t>5</w:t>
            </w:r>
          </w:p>
        </w:tc>
      </w:tr>
      <w:tr w:rsidR="00E82A37" w:rsidRPr="00012AF0" w14:paraId="208E1034" w14:textId="77777777" w:rsidTr="00E82A37">
        <w:trPr>
          <w:trHeight w:val="332"/>
        </w:trPr>
        <w:tc>
          <w:tcPr>
            <w:tcW w:w="2836" w:type="dxa"/>
            <w:vAlign w:val="center"/>
          </w:tcPr>
          <w:p w14:paraId="64F447CE" w14:textId="77777777" w:rsidR="008970FD" w:rsidRPr="001B2069" w:rsidRDefault="00E82A37" w:rsidP="00EB3A9F">
            <w:pPr>
              <w:pStyle w:val="ab"/>
              <w:rPr>
                <w:color w:val="000000" w:themeColor="text1"/>
              </w:rPr>
            </w:pPr>
            <w:r w:rsidRPr="001B2069">
              <w:rPr>
                <w:color w:val="000000" w:themeColor="text1"/>
              </w:rPr>
              <w:t>2</w:t>
            </w:r>
          </w:p>
        </w:tc>
        <w:tc>
          <w:tcPr>
            <w:tcW w:w="2976" w:type="dxa"/>
            <w:vAlign w:val="center"/>
          </w:tcPr>
          <w:p w14:paraId="0A739895" w14:textId="77777777" w:rsidR="008970FD" w:rsidRPr="001B2069" w:rsidRDefault="00E82A37" w:rsidP="00E418BB">
            <w:pPr>
              <w:pStyle w:val="ab"/>
              <w:jc w:val="center"/>
              <w:rPr>
                <w:color w:val="000000" w:themeColor="text1"/>
              </w:rPr>
            </w:pPr>
            <w:r w:rsidRPr="001B2069">
              <w:rPr>
                <w:color w:val="000000" w:themeColor="text1"/>
              </w:rPr>
              <w:t>50</w:t>
            </w:r>
          </w:p>
        </w:tc>
        <w:tc>
          <w:tcPr>
            <w:tcW w:w="3761" w:type="dxa"/>
            <w:vAlign w:val="center"/>
          </w:tcPr>
          <w:p w14:paraId="0FB15171" w14:textId="77777777" w:rsidR="008970FD" w:rsidRPr="001B2069" w:rsidRDefault="00E82A37" w:rsidP="00E418BB">
            <w:pPr>
              <w:pStyle w:val="ab"/>
              <w:jc w:val="center"/>
              <w:rPr>
                <w:color w:val="000000" w:themeColor="text1"/>
              </w:rPr>
            </w:pPr>
            <w:r w:rsidRPr="001B2069">
              <w:rPr>
                <w:color w:val="000000" w:themeColor="text1"/>
              </w:rPr>
              <w:t>4,5</w:t>
            </w:r>
          </w:p>
        </w:tc>
      </w:tr>
      <w:tr w:rsidR="00E82A37" w:rsidRPr="00012AF0" w14:paraId="7495DF3B" w14:textId="77777777" w:rsidTr="00E82A37">
        <w:trPr>
          <w:trHeight w:val="332"/>
        </w:trPr>
        <w:tc>
          <w:tcPr>
            <w:tcW w:w="2836" w:type="dxa"/>
            <w:vAlign w:val="center"/>
          </w:tcPr>
          <w:p w14:paraId="05105E8E" w14:textId="77777777" w:rsidR="008970FD" w:rsidRPr="001B2069" w:rsidRDefault="00E82A37" w:rsidP="00EB3A9F">
            <w:pPr>
              <w:pStyle w:val="ab"/>
              <w:rPr>
                <w:color w:val="000000" w:themeColor="text1"/>
              </w:rPr>
            </w:pPr>
            <w:r w:rsidRPr="001B2069">
              <w:rPr>
                <w:color w:val="000000" w:themeColor="text1"/>
              </w:rPr>
              <w:t>50</w:t>
            </w:r>
          </w:p>
        </w:tc>
        <w:tc>
          <w:tcPr>
            <w:tcW w:w="2976" w:type="dxa"/>
            <w:vAlign w:val="center"/>
          </w:tcPr>
          <w:p w14:paraId="600821E2" w14:textId="77777777" w:rsidR="008970FD" w:rsidRPr="001B2069" w:rsidRDefault="00E82A37" w:rsidP="00E418BB">
            <w:pPr>
              <w:pStyle w:val="ab"/>
              <w:jc w:val="center"/>
              <w:rPr>
                <w:color w:val="000000" w:themeColor="text1"/>
              </w:rPr>
            </w:pPr>
            <w:r w:rsidRPr="001B2069">
              <w:rPr>
                <w:color w:val="000000" w:themeColor="text1"/>
              </w:rPr>
              <w:t>500</w:t>
            </w:r>
          </w:p>
        </w:tc>
        <w:tc>
          <w:tcPr>
            <w:tcW w:w="3761" w:type="dxa"/>
            <w:vAlign w:val="center"/>
          </w:tcPr>
          <w:p w14:paraId="3308D310" w14:textId="77777777" w:rsidR="008970FD" w:rsidRPr="001B2069" w:rsidRDefault="00E82A37" w:rsidP="00E418BB">
            <w:pPr>
              <w:pStyle w:val="ab"/>
              <w:jc w:val="center"/>
              <w:rPr>
                <w:color w:val="000000" w:themeColor="text1"/>
              </w:rPr>
            </w:pPr>
            <w:r w:rsidRPr="001B2069">
              <w:rPr>
                <w:color w:val="000000" w:themeColor="text1"/>
              </w:rPr>
              <w:t>4</w:t>
            </w:r>
          </w:p>
        </w:tc>
      </w:tr>
      <w:tr w:rsidR="00E82A37" w:rsidRPr="00012AF0" w14:paraId="4CF5EE66" w14:textId="77777777" w:rsidTr="00E82A37">
        <w:trPr>
          <w:trHeight w:val="332"/>
        </w:trPr>
        <w:tc>
          <w:tcPr>
            <w:tcW w:w="2836" w:type="dxa"/>
            <w:vAlign w:val="center"/>
          </w:tcPr>
          <w:p w14:paraId="34A1D325" w14:textId="77777777" w:rsidR="00E82A37" w:rsidRPr="001B2069" w:rsidRDefault="00E82A37" w:rsidP="00EB3A9F">
            <w:pPr>
              <w:pStyle w:val="ab"/>
              <w:rPr>
                <w:color w:val="000000" w:themeColor="text1"/>
              </w:rPr>
            </w:pPr>
            <w:r w:rsidRPr="001B2069">
              <w:rPr>
                <w:color w:val="000000" w:themeColor="text1"/>
              </w:rPr>
              <w:t>500</w:t>
            </w:r>
          </w:p>
        </w:tc>
        <w:tc>
          <w:tcPr>
            <w:tcW w:w="2976" w:type="dxa"/>
            <w:vAlign w:val="center"/>
          </w:tcPr>
          <w:p w14:paraId="3F2DFDE5" w14:textId="77777777" w:rsidR="00E82A37" w:rsidRPr="001B2069" w:rsidRDefault="00E82A37" w:rsidP="00E418BB">
            <w:pPr>
              <w:pStyle w:val="ab"/>
              <w:jc w:val="center"/>
              <w:rPr>
                <w:color w:val="000000" w:themeColor="text1"/>
              </w:rPr>
            </w:pPr>
            <w:r w:rsidRPr="001B2069">
              <w:rPr>
                <w:color w:val="000000" w:themeColor="text1"/>
              </w:rPr>
              <w:t>5000</w:t>
            </w:r>
          </w:p>
        </w:tc>
        <w:tc>
          <w:tcPr>
            <w:tcW w:w="3761" w:type="dxa"/>
            <w:vAlign w:val="center"/>
          </w:tcPr>
          <w:p w14:paraId="627210A8" w14:textId="77777777" w:rsidR="00E82A37" w:rsidRPr="001B2069" w:rsidRDefault="00875A18" w:rsidP="00E418BB">
            <w:pPr>
              <w:pStyle w:val="ab"/>
              <w:jc w:val="center"/>
              <w:rPr>
                <w:color w:val="000000" w:themeColor="text1"/>
                <w:lang w:val="ru-RU"/>
              </w:rPr>
            </w:pPr>
            <w:r w:rsidRPr="001B2069">
              <w:rPr>
                <w:color w:val="000000" w:themeColor="text1"/>
                <w:lang w:val="ru-RU"/>
              </w:rPr>
              <w:t>3</w:t>
            </w:r>
          </w:p>
        </w:tc>
      </w:tr>
      <w:tr w:rsidR="00E82A37" w:rsidRPr="00012AF0" w14:paraId="33249D9F" w14:textId="77777777" w:rsidTr="00E82A37">
        <w:trPr>
          <w:trHeight w:val="332"/>
        </w:trPr>
        <w:tc>
          <w:tcPr>
            <w:tcW w:w="2836" w:type="dxa"/>
            <w:vAlign w:val="center"/>
          </w:tcPr>
          <w:p w14:paraId="11C79214" w14:textId="77777777" w:rsidR="00E82A37" w:rsidRPr="001B2069" w:rsidRDefault="00E82A37" w:rsidP="00EB3A9F">
            <w:pPr>
              <w:pStyle w:val="ab"/>
              <w:rPr>
                <w:color w:val="000000" w:themeColor="text1"/>
              </w:rPr>
            </w:pPr>
            <w:r w:rsidRPr="001B2069">
              <w:rPr>
                <w:color w:val="000000" w:themeColor="text1"/>
              </w:rPr>
              <w:t>5000</w:t>
            </w:r>
          </w:p>
        </w:tc>
        <w:tc>
          <w:tcPr>
            <w:tcW w:w="2976" w:type="dxa"/>
            <w:vAlign w:val="center"/>
          </w:tcPr>
          <w:p w14:paraId="303BC6A2" w14:textId="77777777" w:rsidR="00E82A37" w:rsidRPr="001B2069" w:rsidRDefault="00E82A37" w:rsidP="00E418BB">
            <w:pPr>
              <w:pStyle w:val="ab"/>
              <w:jc w:val="center"/>
              <w:rPr>
                <w:color w:val="000000" w:themeColor="text1"/>
              </w:rPr>
            </w:pPr>
            <w:r w:rsidRPr="001B2069">
              <w:rPr>
                <w:color w:val="000000" w:themeColor="text1"/>
              </w:rPr>
              <w:t>-</w:t>
            </w:r>
          </w:p>
        </w:tc>
        <w:tc>
          <w:tcPr>
            <w:tcW w:w="3761" w:type="dxa"/>
            <w:vAlign w:val="center"/>
          </w:tcPr>
          <w:p w14:paraId="004005A1" w14:textId="77777777" w:rsidR="00E82A37" w:rsidRPr="001B2069" w:rsidRDefault="00E82A37" w:rsidP="00E418BB">
            <w:pPr>
              <w:pStyle w:val="ab"/>
              <w:jc w:val="center"/>
              <w:rPr>
                <w:color w:val="000000" w:themeColor="text1"/>
              </w:rPr>
            </w:pPr>
            <w:r w:rsidRPr="001B2069">
              <w:rPr>
                <w:color w:val="000000" w:themeColor="text1"/>
              </w:rPr>
              <w:t>2</w:t>
            </w:r>
          </w:p>
        </w:tc>
      </w:tr>
    </w:tbl>
    <w:p w14:paraId="1EBFB614" w14:textId="77777777" w:rsidR="008970FD" w:rsidRPr="0042383A" w:rsidRDefault="008970FD" w:rsidP="008970FD">
      <w:pPr>
        <w:pStyle w:val="ab"/>
        <w:ind w:left="0" w:firstLine="708"/>
      </w:pPr>
      <w:r w:rsidRPr="0042383A">
        <w:rPr>
          <w:u w:val="single"/>
        </w:rPr>
        <w:t>Реєстраційний внесок</w:t>
      </w:r>
      <w:r w:rsidRPr="0042383A">
        <w:t xml:space="preserve"> не встановлюється.</w:t>
      </w:r>
    </w:p>
    <w:p w14:paraId="414B9FB9" w14:textId="7E0FAF4F" w:rsidR="00CF1E44" w:rsidRPr="0042383A" w:rsidRDefault="00CF1E44" w:rsidP="00822277">
      <w:pPr>
        <w:pStyle w:val="ab"/>
        <w:ind w:left="0" w:firstLine="708"/>
      </w:pPr>
      <w:r w:rsidRPr="0042383A">
        <w:t xml:space="preserve">Відповідно до ч.3 ст. 71 </w:t>
      </w:r>
      <w:r w:rsidR="00D63CDD" w:rsidRPr="0042383A">
        <w:t>Кодексу України з процедур банкрутства</w:t>
      </w:r>
      <w:r w:rsidR="00822277" w:rsidRPr="0042383A">
        <w:t xml:space="preserve">, з урахуванням п. 3.2. даного Договору </w:t>
      </w:r>
      <w:r w:rsidR="00D63CDD" w:rsidRPr="0042383A">
        <w:rPr>
          <w:shd w:val="clear" w:color="auto" w:fill="FFFFFF"/>
        </w:rPr>
        <w:t>Переможець аукціону зобов’язаний сплатити оператору авторизованого електронного майданчика, через який переможець брав участь в аукціоні, винагороду</w:t>
      </w:r>
      <w:r w:rsidR="00D63CDD" w:rsidRPr="0042383A">
        <w:t>.</w:t>
      </w:r>
      <w:r w:rsidR="00E02BFE" w:rsidRPr="0042383A">
        <w:t xml:space="preserve"> </w:t>
      </w:r>
      <w:r w:rsidR="00E02BFE" w:rsidRPr="0042383A">
        <w:rPr>
          <w:lang w:eastAsia="ru-RU"/>
        </w:rPr>
        <w:t>У випадку, коли сума внесеного гарантійного внеску менша суми грошової винагороди за результатами проведеного аукціону, Переможець електронного аукціону зобов`язаний сплатити таку різницю на розрахунковий рахунок Оператора протягом 10 днів з моменту формування Протоколу електронних торгів та виставлення відповідного рахунку Оператором Електронного майданчика</w:t>
      </w:r>
    </w:p>
    <w:p w14:paraId="0D3B5633" w14:textId="77777777" w:rsidR="00CF1E44" w:rsidRPr="0042383A" w:rsidRDefault="00CF1E44" w:rsidP="008970FD">
      <w:pPr>
        <w:pStyle w:val="ab"/>
        <w:ind w:left="0" w:firstLine="708"/>
      </w:pPr>
      <w:proofErr w:type="spellStart"/>
      <w:r w:rsidRPr="0042383A">
        <w:rPr>
          <w:lang w:val="ru-RU"/>
        </w:rPr>
        <w:t>Винагорода</w:t>
      </w:r>
      <w:proofErr w:type="spellEnd"/>
      <w:r w:rsidRPr="0042383A">
        <w:rPr>
          <w:lang w:val="ru-RU"/>
        </w:rPr>
        <w:t xml:space="preserve"> оператора </w:t>
      </w:r>
      <w:proofErr w:type="spellStart"/>
      <w:r w:rsidRPr="0042383A">
        <w:rPr>
          <w:lang w:val="ru-RU"/>
        </w:rPr>
        <w:t>підляга</w:t>
      </w:r>
      <w:proofErr w:type="spellEnd"/>
      <w:r w:rsidRPr="0042383A">
        <w:t xml:space="preserve">є вирахуванню з гарантійного внеску навіть у разі, коли: </w:t>
      </w:r>
    </w:p>
    <w:p w14:paraId="38669BC6" w14:textId="77777777" w:rsidR="00CF1E44" w:rsidRPr="0042383A" w:rsidRDefault="00CF1E44" w:rsidP="00CF1E44">
      <w:pPr>
        <w:pStyle w:val="ab"/>
        <w:ind w:left="0" w:firstLine="708"/>
      </w:pPr>
      <w:r w:rsidRPr="0042383A">
        <w:t>- аукціон закінчився без визначення переможця, крім випадків виявлення недоліків майна, не зазначених в оголошенні про проведення аукціону;</w:t>
      </w:r>
    </w:p>
    <w:p w14:paraId="760BEA3D" w14:textId="7C067B46" w:rsidR="00621612" w:rsidRDefault="00B80B75" w:rsidP="0021500E">
      <w:pPr>
        <w:pStyle w:val="ab"/>
        <w:ind w:left="0" w:firstLine="708"/>
      </w:pPr>
      <w:r>
        <w:t xml:space="preserve">- </w:t>
      </w:r>
      <w:r w:rsidR="00CF1E44" w:rsidRPr="0042383A">
        <w:t>переможець аукціону, що подав заявку на участь в аукціоні через авторизований електронний майданчик оператора, відмовився від придбання лота (не сплатив запропонованої ним ціни або не підписав протоколу про проведення аукціону в строки, визначені Кодексом та Порядком затвердженим постановою КМУ від 02.10.2019 р. №865).</w:t>
      </w:r>
    </w:p>
    <w:p w14:paraId="1FB42298" w14:textId="77777777" w:rsidR="00580830" w:rsidRPr="00D63CDD" w:rsidRDefault="00580830" w:rsidP="0021500E">
      <w:pPr>
        <w:pStyle w:val="ab"/>
        <w:ind w:left="0" w:firstLine="708"/>
      </w:pPr>
    </w:p>
    <w:p w14:paraId="0570E44C" w14:textId="00446DD5" w:rsidR="00F06BBF" w:rsidRPr="00D63CDD" w:rsidRDefault="00621612" w:rsidP="00621612">
      <w:pPr>
        <w:pStyle w:val="a6"/>
        <w:ind w:firstLine="708"/>
        <w:jc w:val="both"/>
        <w:rPr>
          <w:rFonts w:ascii="Times New Roman" w:hAnsi="Times New Roman" w:cs="Times New Roman"/>
          <w:color w:val="000000" w:themeColor="text1"/>
        </w:rPr>
      </w:pPr>
      <w:r w:rsidRPr="00D63CDD">
        <w:rPr>
          <w:rFonts w:ascii="Times New Roman" w:hAnsi="Times New Roman" w:cs="Times New Roman"/>
          <w:lang w:val="uk-UA" w:eastAsia="ru-RU"/>
        </w:rPr>
        <w:t>3.3.</w:t>
      </w:r>
      <w:r w:rsidR="00D97490">
        <w:rPr>
          <w:rFonts w:ascii="Times New Roman" w:hAnsi="Times New Roman" w:cs="Times New Roman"/>
          <w:lang w:val="uk-UA" w:eastAsia="ru-RU"/>
        </w:rPr>
        <w:t>5</w:t>
      </w:r>
      <w:r w:rsidRPr="00D63CDD">
        <w:rPr>
          <w:rFonts w:ascii="Times New Roman" w:hAnsi="Times New Roman" w:cs="Times New Roman"/>
          <w:lang w:val="uk-UA" w:eastAsia="ru-RU"/>
        </w:rPr>
        <w:t xml:space="preserve">. </w:t>
      </w:r>
      <w:r w:rsidRPr="00D63CDD">
        <w:rPr>
          <w:rFonts w:ascii="Times New Roman" w:hAnsi="Times New Roman" w:cs="Times New Roman"/>
          <w:color w:val="000000" w:themeColor="text1"/>
          <w:spacing w:val="-17"/>
        </w:rPr>
        <w:t xml:space="preserve">У </w:t>
      </w:r>
      <w:proofErr w:type="spellStart"/>
      <w:r w:rsidRPr="00D63CDD">
        <w:rPr>
          <w:rFonts w:ascii="Times New Roman" w:hAnsi="Times New Roman" w:cs="Times New Roman"/>
          <w:color w:val="000000" w:themeColor="text1"/>
        </w:rPr>
        <w:t>випадку</w:t>
      </w:r>
      <w:proofErr w:type="spellEnd"/>
      <w:r w:rsidRPr="00D63CDD">
        <w:rPr>
          <w:rFonts w:ascii="Times New Roman" w:hAnsi="Times New Roman" w:cs="Times New Roman"/>
          <w:color w:val="000000" w:themeColor="text1"/>
        </w:rPr>
        <w:t xml:space="preserve"> </w:t>
      </w:r>
      <w:proofErr w:type="spellStart"/>
      <w:r w:rsidRPr="00D63CDD">
        <w:rPr>
          <w:rFonts w:ascii="Times New Roman" w:hAnsi="Times New Roman" w:cs="Times New Roman"/>
          <w:color w:val="000000" w:themeColor="text1"/>
        </w:rPr>
        <w:t>проведення</w:t>
      </w:r>
      <w:proofErr w:type="spellEnd"/>
      <w:r w:rsidRPr="00D63CDD">
        <w:rPr>
          <w:rFonts w:ascii="Times New Roman" w:hAnsi="Times New Roman" w:cs="Times New Roman"/>
          <w:color w:val="000000" w:themeColor="text1"/>
        </w:rPr>
        <w:t xml:space="preserve"> </w:t>
      </w:r>
      <w:proofErr w:type="spellStart"/>
      <w:r w:rsidRPr="00D63CDD">
        <w:rPr>
          <w:rFonts w:ascii="Times New Roman" w:hAnsi="Times New Roman" w:cs="Times New Roman"/>
          <w:color w:val="000000" w:themeColor="text1"/>
        </w:rPr>
        <w:t>електронних</w:t>
      </w:r>
      <w:proofErr w:type="spellEnd"/>
      <w:r w:rsidRPr="00D63CDD">
        <w:rPr>
          <w:rFonts w:ascii="Times New Roman" w:hAnsi="Times New Roman" w:cs="Times New Roman"/>
          <w:color w:val="000000" w:themeColor="text1"/>
        </w:rPr>
        <w:t xml:space="preserve"> </w:t>
      </w:r>
      <w:proofErr w:type="spellStart"/>
      <w:r w:rsidRPr="00D63CDD">
        <w:rPr>
          <w:rFonts w:ascii="Times New Roman" w:hAnsi="Times New Roman" w:cs="Times New Roman"/>
          <w:color w:val="000000" w:themeColor="text1"/>
        </w:rPr>
        <w:t>торгів</w:t>
      </w:r>
      <w:proofErr w:type="spellEnd"/>
      <w:r w:rsidRPr="00D63CDD">
        <w:rPr>
          <w:rFonts w:ascii="Times New Roman" w:hAnsi="Times New Roman" w:cs="Times New Roman"/>
          <w:color w:val="000000" w:themeColor="text1"/>
        </w:rPr>
        <w:t xml:space="preserve"> з </w:t>
      </w:r>
      <w:r w:rsidRPr="00811601">
        <w:rPr>
          <w:rFonts w:ascii="Times New Roman" w:hAnsi="Times New Roman" w:cs="Times New Roman"/>
          <w:b/>
          <w:bCs/>
          <w:color w:val="000000" w:themeColor="text1"/>
        </w:rPr>
        <w:t>продажу майна АТ КБ «Приватбанк»</w:t>
      </w:r>
      <w:r w:rsidRPr="00D63CDD">
        <w:rPr>
          <w:rFonts w:ascii="Times New Roman" w:hAnsi="Times New Roman" w:cs="Times New Roman"/>
          <w:color w:val="000000" w:themeColor="text1"/>
        </w:rPr>
        <w:t xml:space="preserve">, </w:t>
      </w:r>
      <w:proofErr w:type="spellStart"/>
      <w:r w:rsidRPr="00D63CDD">
        <w:rPr>
          <w:rFonts w:ascii="Times New Roman" w:hAnsi="Times New Roman" w:cs="Times New Roman"/>
          <w:color w:val="000000" w:themeColor="text1"/>
        </w:rPr>
        <w:t>винагорода</w:t>
      </w:r>
      <w:proofErr w:type="spellEnd"/>
      <w:r w:rsidRPr="00D63CDD">
        <w:rPr>
          <w:rFonts w:ascii="Times New Roman" w:hAnsi="Times New Roman" w:cs="Times New Roman"/>
          <w:color w:val="000000" w:themeColor="text1"/>
        </w:rPr>
        <w:t xml:space="preserve"> </w:t>
      </w:r>
      <w:proofErr w:type="spellStart"/>
      <w:r w:rsidRPr="00D63CDD">
        <w:rPr>
          <w:rFonts w:ascii="Times New Roman" w:hAnsi="Times New Roman" w:cs="Times New Roman"/>
          <w:color w:val="000000" w:themeColor="text1"/>
        </w:rPr>
        <w:t>визначається</w:t>
      </w:r>
      <w:proofErr w:type="spellEnd"/>
      <w:r w:rsidRPr="00D63CDD">
        <w:rPr>
          <w:rFonts w:ascii="Times New Roman" w:hAnsi="Times New Roman" w:cs="Times New Roman"/>
          <w:color w:val="000000" w:themeColor="text1"/>
        </w:rPr>
        <w:t xml:space="preserve"> у </w:t>
      </w:r>
      <w:proofErr w:type="spellStart"/>
      <w:r w:rsidRPr="00D63CDD">
        <w:rPr>
          <w:rFonts w:ascii="Times New Roman" w:hAnsi="Times New Roman" w:cs="Times New Roman"/>
          <w:color w:val="000000" w:themeColor="text1"/>
        </w:rPr>
        <w:t>залежності</w:t>
      </w:r>
      <w:proofErr w:type="spellEnd"/>
      <w:r w:rsidRPr="00D63CDD">
        <w:rPr>
          <w:rFonts w:ascii="Times New Roman" w:hAnsi="Times New Roman" w:cs="Times New Roman"/>
          <w:color w:val="000000" w:themeColor="text1"/>
        </w:rPr>
        <w:t xml:space="preserve"> </w:t>
      </w:r>
      <w:proofErr w:type="spellStart"/>
      <w:r w:rsidRPr="00D63CDD">
        <w:rPr>
          <w:rFonts w:ascii="Times New Roman" w:hAnsi="Times New Roman" w:cs="Times New Roman"/>
          <w:color w:val="000000" w:themeColor="text1"/>
        </w:rPr>
        <w:t>від</w:t>
      </w:r>
      <w:proofErr w:type="spellEnd"/>
      <w:r w:rsidRPr="00D63CDD">
        <w:rPr>
          <w:rFonts w:ascii="Times New Roman" w:hAnsi="Times New Roman" w:cs="Times New Roman"/>
          <w:color w:val="000000" w:themeColor="text1"/>
        </w:rPr>
        <w:t xml:space="preserve"> </w:t>
      </w:r>
      <w:proofErr w:type="spellStart"/>
      <w:r w:rsidRPr="00D63CDD">
        <w:rPr>
          <w:rFonts w:ascii="Times New Roman" w:hAnsi="Times New Roman" w:cs="Times New Roman"/>
          <w:color w:val="000000" w:themeColor="text1"/>
        </w:rPr>
        <w:t>кінцевої</w:t>
      </w:r>
      <w:proofErr w:type="spellEnd"/>
      <w:r w:rsidRPr="00D63CDD">
        <w:rPr>
          <w:rFonts w:ascii="Times New Roman" w:hAnsi="Times New Roman" w:cs="Times New Roman"/>
          <w:color w:val="000000" w:themeColor="text1"/>
        </w:rPr>
        <w:t xml:space="preserve"> </w:t>
      </w:r>
      <w:proofErr w:type="spellStart"/>
      <w:r w:rsidRPr="00D63CDD">
        <w:rPr>
          <w:rFonts w:ascii="Times New Roman" w:hAnsi="Times New Roman" w:cs="Times New Roman"/>
          <w:color w:val="000000" w:themeColor="text1"/>
        </w:rPr>
        <w:t>вартості</w:t>
      </w:r>
      <w:proofErr w:type="spellEnd"/>
      <w:r w:rsidRPr="00D63CDD">
        <w:rPr>
          <w:rFonts w:ascii="Times New Roman" w:hAnsi="Times New Roman" w:cs="Times New Roman"/>
          <w:color w:val="000000" w:themeColor="text1"/>
        </w:rPr>
        <w:t xml:space="preserve"> продажу лоту </w:t>
      </w:r>
      <w:r w:rsidR="00A43E92">
        <w:rPr>
          <w:rFonts w:ascii="Times New Roman" w:hAnsi="Times New Roman" w:cs="Times New Roman"/>
          <w:color w:val="000000" w:themeColor="text1"/>
          <w:lang w:val="uk-UA"/>
        </w:rPr>
        <w:t>та у</w:t>
      </w:r>
      <w:proofErr w:type="spellStart"/>
      <w:r w:rsidRPr="00D63CDD">
        <w:rPr>
          <w:rFonts w:ascii="Times New Roman" w:hAnsi="Times New Roman" w:cs="Times New Roman"/>
          <w:color w:val="000000" w:themeColor="text1"/>
        </w:rPr>
        <w:t>тримується</w:t>
      </w:r>
      <w:proofErr w:type="spellEnd"/>
      <w:r w:rsidRPr="00D63CDD">
        <w:rPr>
          <w:rFonts w:ascii="Times New Roman" w:hAnsi="Times New Roman" w:cs="Times New Roman"/>
          <w:color w:val="000000" w:themeColor="text1"/>
        </w:rPr>
        <w:t xml:space="preserve"> оператором з </w:t>
      </w:r>
      <w:proofErr w:type="spellStart"/>
      <w:r w:rsidRPr="00D63CDD">
        <w:rPr>
          <w:rFonts w:ascii="Times New Roman" w:hAnsi="Times New Roman" w:cs="Times New Roman"/>
          <w:color w:val="000000" w:themeColor="text1"/>
        </w:rPr>
        <w:t>суми</w:t>
      </w:r>
      <w:proofErr w:type="spellEnd"/>
      <w:r w:rsidRPr="00D63CDD">
        <w:rPr>
          <w:rFonts w:ascii="Times New Roman" w:hAnsi="Times New Roman" w:cs="Times New Roman"/>
          <w:color w:val="000000" w:themeColor="text1"/>
        </w:rPr>
        <w:t xml:space="preserve"> </w:t>
      </w:r>
      <w:proofErr w:type="spellStart"/>
      <w:r w:rsidRPr="00D63CDD">
        <w:rPr>
          <w:rFonts w:ascii="Times New Roman" w:hAnsi="Times New Roman" w:cs="Times New Roman"/>
          <w:color w:val="000000" w:themeColor="text1"/>
        </w:rPr>
        <w:t>гарантійного</w:t>
      </w:r>
      <w:proofErr w:type="spellEnd"/>
      <w:r w:rsidRPr="00D63CDD">
        <w:rPr>
          <w:rFonts w:ascii="Times New Roman" w:hAnsi="Times New Roman" w:cs="Times New Roman"/>
          <w:color w:val="000000" w:themeColor="text1"/>
        </w:rPr>
        <w:t xml:space="preserve"> </w:t>
      </w:r>
      <w:proofErr w:type="spellStart"/>
      <w:r w:rsidRPr="00D63CDD">
        <w:rPr>
          <w:rFonts w:ascii="Times New Roman" w:hAnsi="Times New Roman" w:cs="Times New Roman"/>
          <w:color w:val="000000" w:themeColor="text1"/>
        </w:rPr>
        <w:t>внеску</w:t>
      </w:r>
      <w:proofErr w:type="spellEnd"/>
      <w:r w:rsidRPr="00D63CDD">
        <w:rPr>
          <w:rFonts w:ascii="Times New Roman" w:hAnsi="Times New Roman" w:cs="Times New Roman"/>
          <w:color w:val="000000" w:themeColor="text1"/>
        </w:rPr>
        <w:t xml:space="preserve"> за </w:t>
      </w:r>
      <w:proofErr w:type="spellStart"/>
      <w:r w:rsidRPr="00D63CDD">
        <w:rPr>
          <w:rFonts w:ascii="Times New Roman" w:hAnsi="Times New Roman" w:cs="Times New Roman"/>
          <w:color w:val="000000" w:themeColor="text1"/>
        </w:rPr>
        <w:t>наступним</w:t>
      </w:r>
      <w:proofErr w:type="spellEnd"/>
      <w:r w:rsidRPr="00D63CDD">
        <w:rPr>
          <w:rFonts w:ascii="Times New Roman" w:hAnsi="Times New Roman" w:cs="Times New Roman"/>
          <w:color w:val="000000" w:themeColor="text1"/>
        </w:rPr>
        <w:t xml:space="preserve"> алгоритмом:</w:t>
      </w:r>
    </w:p>
    <w:tbl>
      <w:tblPr>
        <w:tblStyle w:val="a4"/>
        <w:tblW w:w="9573" w:type="dxa"/>
        <w:tblInd w:w="-34" w:type="dxa"/>
        <w:tblLook w:val="04A0" w:firstRow="1" w:lastRow="0" w:firstColumn="1" w:lastColumn="0" w:noHBand="0" w:noVBand="1"/>
      </w:tblPr>
      <w:tblGrid>
        <w:gridCol w:w="2836"/>
        <w:gridCol w:w="2976"/>
        <w:gridCol w:w="3761"/>
      </w:tblGrid>
      <w:tr w:rsidR="00621612" w:rsidRPr="00621612" w14:paraId="35C1B421" w14:textId="77777777" w:rsidTr="00415BBF">
        <w:trPr>
          <w:trHeight w:val="332"/>
        </w:trPr>
        <w:tc>
          <w:tcPr>
            <w:tcW w:w="5812" w:type="dxa"/>
            <w:gridSpan w:val="2"/>
            <w:vAlign w:val="center"/>
            <w:hideMark/>
          </w:tcPr>
          <w:p w14:paraId="496FF400" w14:textId="77777777" w:rsidR="00621612" w:rsidRPr="001B2069" w:rsidRDefault="00621612" w:rsidP="00E418BB">
            <w:pPr>
              <w:pStyle w:val="ab"/>
              <w:jc w:val="center"/>
              <w:rPr>
                <w:b/>
                <w:bCs/>
                <w:color w:val="000000" w:themeColor="text1"/>
              </w:rPr>
            </w:pPr>
            <w:bookmarkStart w:id="2" w:name="_Hlk157682676"/>
            <w:r w:rsidRPr="001B2069">
              <w:rPr>
                <w:b/>
                <w:bCs/>
                <w:color w:val="000000" w:themeColor="text1"/>
              </w:rPr>
              <w:t>Ціна продажу лоту, грн.</w:t>
            </w:r>
          </w:p>
        </w:tc>
        <w:tc>
          <w:tcPr>
            <w:tcW w:w="3761" w:type="dxa"/>
            <w:vMerge w:val="restart"/>
            <w:vAlign w:val="center"/>
            <w:hideMark/>
          </w:tcPr>
          <w:p w14:paraId="66F08F98" w14:textId="77777777" w:rsidR="00621612" w:rsidRPr="001B2069" w:rsidRDefault="00621612" w:rsidP="00E418BB">
            <w:pPr>
              <w:pStyle w:val="ab"/>
              <w:jc w:val="center"/>
              <w:rPr>
                <w:b/>
                <w:bCs/>
                <w:color w:val="000000" w:themeColor="text1"/>
              </w:rPr>
            </w:pPr>
            <w:r w:rsidRPr="001B2069">
              <w:rPr>
                <w:b/>
                <w:bCs/>
                <w:color w:val="000000" w:themeColor="text1"/>
              </w:rPr>
              <w:t>% від ціни продажу</w:t>
            </w:r>
          </w:p>
        </w:tc>
      </w:tr>
      <w:tr w:rsidR="00621612" w:rsidRPr="00012AF0" w14:paraId="6C3849DF" w14:textId="77777777" w:rsidTr="00415BBF">
        <w:trPr>
          <w:trHeight w:val="332"/>
        </w:trPr>
        <w:tc>
          <w:tcPr>
            <w:tcW w:w="2836" w:type="dxa"/>
            <w:vAlign w:val="center"/>
            <w:hideMark/>
          </w:tcPr>
          <w:p w14:paraId="63281DC5" w14:textId="77777777" w:rsidR="00621612" w:rsidRPr="001B2069" w:rsidRDefault="00621612" w:rsidP="00E418BB">
            <w:pPr>
              <w:pStyle w:val="ab"/>
              <w:jc w:val="center"/>
              <w:rPr>
                <w:color w:val="000000" w:themeColor="text1"/>
              </w:rPr>
            </w:pPr>
            <w:r w:rsidRPr="001B2069">
              <w:rPr>
                <w:color w:val="000000" w:themeColor="text1"/>
              </w:rPr>
              <w:t>від</w:t>
            </w:r>
          </w:p>
        </w:tc>
        <w:tc>
          <w:tcPr>
            <w:tcW w:w="2976" w:type="dxa"/>
            <w:vAlign w:val="center"/>
            <w:hideMark/>
          </w:tcPr>
          <w:p w14:paraId="150AE8DC" w14:textId="77777777" w:rsidR="00621612" w:rsidRPr="001B2069" w:rsidRDefault="00621612" w:rsidP="00E418BB">
            <w:pPr>
              <w:pStyle w:val="ab"/>
              <w:jc w:val="center"/>
              <w:rPr>
                <w:color w:val="000000" w:themeColor="text1"/>
              </w:rPr>
            </w:pPr>
            <w:r w:rsidRPr="001B2069">
              <w:rPr>
                <w:color w:val="000000" w:themeColor="text1"/>
              </w:rPr>
              <w:t>до</w:t>
            </w:r>
          </w:p>
        </w:tc>
        <w:tc>
          <w:tcPr>
            <w:tcW w:w="3761" w:type="dxa"/>
            <w:vMerge/>
            <w:vAlign w:val="center"/>
            <w:hideMark/>
          </w:tcPr>
          <w:p w14:paraId="5E93EEAD" w14:textId="77777777" w:rsidR="00621612" w:rsidRPr="001B2069" w:rsidRDefault="00621612" w:rsidP="00E418BB">
            <w:pPr>
              <w:pStyle w:val="ab"/>
              <w:jc w:val="center"/>
              <w:rPr>
                <w:b/>
                <w:bCs/>
                <w:color w:val="000000" w:themeColor="text1"/>
              </w:rPr>
            </w:pPr>
          </w:p>
        </w:tc>
      </w:tr>
      <w:tr w:rsidR="00621612" w:rsidRPr="00012AF0" w14:paraId="73C98F1B" w14:textId="77777777" w:rsidTr="00415BBF">
        <w:trPr>
          <w:trHeight w:val="332"/>
        </w:trPr>
        <w:tc>
          <w:tcPr>
            <w:tcW w:w="2836" w:type="dxa"/>
            <w:vAlign w:val="center"/>
          </w:tcPr>
          <w:p w14:paraId="4676E6D9" w14:textId="77777777" w:rsidR="00621612" w:rsidRPr="001B2069" w:rsidRDefault="00621612" w:rsidP="00E418BB">
            <w:pPr>
              <w:pStyle w:val="ab"/>
              <w:jc w:val="center"/>
              <w:rPr>
                <w:color w:val="000000" w:themeColor="text1"/>
              </w:rPr>
            </w:pPr>
            <w:r w:rsidRPr="001B2069">
              <w:rPr>
                <w:color w:val="000000" w:themeColor="text1"/>
              </w:rPr>
              <w:t>-</w:t>
            </w:r>
          </w:p>
        </w:tc>
        <w:tc>
          <w:tcPr>
            <w:tcW w:w="2976" w:type="dxa"/>
            <w:vAlign w:val="center"/>
          </w:tcPr>
          <w:p w14:paraId="5A82EFF7" w14:textId="77777777" w:rsidR="00621612" w:rsidRPr="001B2069" w:rsidRDefault="00621612" w:rsidP="00E418BB">
            <w:pPr>
              <w:pStyle w:val="ab"/>
              <w:jc w:val="center"/>
              <w:rPr>
                <w:color w:val="000000" w:themeColor="text1"/>
              </w:rPr>
            </w:pPr>
            <w:r w:rsidRPr="001B2069">
              <w:rPr>
                <w:color w:val="000000" w:themeColor="text1"/>
              </w:rPr>
              <w:t>4 000 000</w:t>
            </w:r>
          </w:p>
        </w:tc>
        <w:tc>
          <w:tcPr>
            <w:tcW w:w="3761" w:type="dxa"/>
            <w:vAlign w:val="center"/>
          </w:tcPr>
          <w:p w14:paraId="6C3CCE77" w14:textId="77777777" w:rsidR="00621612" w:rsidRPr="001B2069" w:rsidRDefault="00621612" w:rsidP="00E418BB">
            <w:pPr>
              <w:pStyle w:val="ab"/>
              <w:jc w:val="center"/>
              <w:rPr>
                <w:color w:val="000000" w:themeColor="text1"/>
              </w:rPr>
            </w:pPr>
            <w:r w:rsidRPr="001B2069">
              <w:rPr>
                <w:color w:val="000000" w:themeColor="text1"/>
              </w:rPr>
              <w:t>4,5</w:t>
            </w:r>
          </w:p>
        </w:tc>
      </w:tr>
      <w:tr w:rsidR="00621612" w:rsidRPr="00012AF0" w14:paraId="0167A5F0" w14:textId="77777777" w:rsidTr="00415BBF">
        <w:trPr>
          <w:trHeight w:val="332"/>
        </w:trPr>
        <w:tc>
          <w:tcPr>
            <w:tcW w:w="2836" w:type="dxa"/>
            <w:vAlign w:val="center"/>
          </w:tcPr>
          <w:p w14:paraId="168403F6" w14:textId="77777777" w:rsidR="00621612" w:rsidRPr="001B2069" w:rsidRDefault="00621612" w:rsidP="00E418BB">
            <w:pPr>
              <w:pStyle w:val="ab"/>
              <w:jc w:val="center"/>
              <w:rPr>
                <w:color w:val="000000" w:themeColor="text1"/>
              </w:rPr>
            </w:pPr>
            <w:r w:rsidRPr="001B2069">
              <w:rPr>
                <w:color w:val="000000" w:themeColor="text1"/>
              </w:rPr>
              <w:t>4 000 000</w:t>
            </w:r>
          </w:p>
        </w:tc>
        <w:tc>
          <w:tcPr>
            <w:tcW w:w="2976" w:type="dxa"/>
            <w:vAlign w:val="center"/>
          </w:tcPr>
          <w:p w14:paraId="61989F4D" w14:textId="77777777" w:rsidR="00621612" w:rsidRPr="001B2069" w:rsidRDefault="00621612" w:rsidP="00E418BB">
            <w:pPr>
              <w:pStyle w:val="ab"/>
              <w:jc w:val="center"/>
              <w:rPr>
                <w:color w:val="000000" w:themeColor="text1"/>
              </w:rPr>
            </w:pPr>
            <w:r w:rsidRPr="001B2069">
              <w:rPr>
                <w:color w:val="000000" w:themeColor="text1"/>
              </w:rPr>
              <w:t>64 000 000</w:t>
            </w:r>
          </w:p>
        </w:tc>
        <w:tc>
          <w:tcPr>
            <w:tcW w:w="3761" w:type="dxa"/>
            <w:vAlign w:val="center"/>
          </w:tcPr>
          <w:p w14:paraId="372429E2" w14:textId="77777777" w:rsidR="00621612" w:rsidRPr="001B2069" w:rsidRDefault="00621612" w:rsidP="00E418BB">
            <w:pPr>
              <w:pStyle w:val="ab"/>
              <w:jc w:val="center"/>
              <w:rPr>
                <w:color w:val="000000" w:themeColor="text1"/>
              </w:rPr>
            </w:pPr>
            <w:r w:rsidRPr="001B2069">
              <w:rPr>
                <w:color w:val="000000" w:themeColor="text1"/>
              </w:rPr>
              <w:t>3</w:t>
            </w:r>
          </w:p>
        </w:tc>
      </w:tr>
      <w:tr w:rsidR="00621612" w:rsidRPr="00012AF0" w14:paraId="41CE82D6" w14:textId="77777777" w:rsidTr="00415BBF">
        <w:trPr>
          <w:trHeight w:val="332"/>
        </w:trPr>
        <w:tc>
          <w:tcPr>
            <w:tcW w:w="2836" w:type="dxa"/>
            <w:vAlign w:val="center"/>
          </w:tcPr>
          <w:p w14:paraId="00558BB5" w14:textId="77777777" w:rsidR="00621612" w:rsidRPr="001B2069" w:rsidRDefault="00621612" w:rsidP="00E418BB">
            <w:pPr>
              <w:pStyle w:val="ab"/>
              <w:jc w:val="center"/>
              <w:rPr>
                <w:color w:val="000000" w:themeColor="text1"/>
              </w:rPr>
            </w:pPr>
            <w:r w:rsidRPr="001B2069">
              <w:rPr>
                <w:color w:val="000000" w:themeColor="text1"/>
              </w:rPr>
              <w:t>64 000 000</w:t>
            </w:r>
          </w:p>
        </w:tc>
        <w:tc>
          <w:tcPr>
            <w:tcW w:w="2976" w:type="dxa"/>
            <w:vAlign w:val="center"/>
          </w:tcPr>
          <w:p w14:paraId="6CDD55FA" w14:textId="77777777" w:rsidR="00621612" w:rsidRPr="001B2069" w:rsidRDefault="00621612" w:rsidP="00E418BB">
            <w:pPr>
              <w:pStyle w:val="ab"/>
              <w:jc w:val="center"/>
              <w:rPr>
                <w:color w:val="000000" w:themeColor="text1"/>
              </w:rPr>
            </w:pPr>
            <w:r w:rsidRPr="001B2069">
              <w:rPr>
                <w:color w:val="000000" w:themeColor="text1"/>
              </w:rPr>
              <w:t>-</w:t>
            </w:r>
          </w:p>
        </w:tc>
        <w:tc>
          <w:tcPr>
            <w:tcW w:w="3761" w:type="dxa"/>
            <w:vAlign w:val="center"/>
          </w:tcPr>
          <w:p w14:paraId="02383825" w14:textId="77777777" w:rsidR="00621612" w:rsidRPr="001B2069" w:rsidRDefault="00621612" w:rsidP="00E418BB">
            <w:pPr>
              <w:pStyle w:val="ab"/>
              <w:jc w:val="center"/>
              <w:rPr>
                <w:color w:val="000000" w:themeColor="text1"/>
              </w:rPr>
            </w:pPr>
            <w:r w:rsidRPr="001B2069">
              <w:rPr>
                <w:color w:val="000000" w:themeColor="text1"/>
              </w:rPr>
              <w:t>1,5</w:t>
            </w:r>
          </w:p>
        </w:tc>
      </w:tr>
      <w:bookmarkEnd w:id="2"/>
    </w:tbl>
    <w:p w14:paraId="2A7E29B5" w14:textId="77777777" w:rsidR="008824BB" w:rsidRDefault="008824BB" w:rsidP="005E758A">
      <w:pPr>
        <w:pStyle w:val="a6"/>
        <w:ind w:firstLine="708"/>
        <w:jc w:val="both"/>
        <w:rPr>
          <w:rFonts w:ascii="Times New Roman" w:hAnsi="Times New Roman" w:cs="Times New Roman"/>
          <w:lang w:val="uk-UA" w:eastAsia="ru-RU"/>
        </w:rPr>
      </w:pPr>
    </w:p>
    <w:p w14:paraId="0D1A19BE" w14:textId="10CAD86C" w:rsidR="00F06BBF" w:rsidRDefault="005E758A" w:rsidP="005E758A">
      <w:pPr>
        <w:pStyle w:val="a6"/>
        <w:ind w:firstLine="708"/>
        <w:jc w:val="both"/>
        <w:rPr>
          <w:rFonts w:ascii="Times New Roman" w:hAnsi="Times New Roman" w:cs="Times New Roman"/>
          <w:color w:val="000000" w:themeColor="text1"/>
          <w:lang w:val="uk-UA"/>
        </w:rPr>
      </w:pPr>
      <w:r w:rsidRPr="00D63CDD">
        <w:rPr>
          <w:rFonts w:ascii="Times New Roman" w:hAnsi="Times New Roman" w:cs="Times New Roman"/>
          <w:lang w:val="uk-UA" w:eastAsia="ru-RU"/>
        </w:rPr>
        <w:t>3.</w:t>
      </w:r>
      <w:r w:rsidR="00CF1E44" w:rsidRPr="00D63CDD">
        <w:rPr>
          <w:rFonts w:ascii="Times New Roman" w:hAnsi="Times New Roman" w:cs="Times New Roman"/>
          <w:lang w:val="uk-UA" w:eastAsia="ru-RU"/>
        </w:rPr>
        <w:t>3</w:t>
      </w:r>
      <w:r w:rsidRPr="00D63CDD">
        <w:rPr>
          <w:rFonts w:ascii="Times New Roman" w:hAnsi="Times New Roman" w:cs="Times New Roman"/>
          <w:lang w:val="uk-UA" w:eastAsia="ru-RU"/>
        </w:rPr>
        <w:t>.</w:t>
      </w:r>
      <w:r w:rsidR="00D97490">
        <w:rPr>
          <w:rFonts w:ascii="Times New Roman" w:hAnsi="Times New Roman" w:cs="Times New Roman"/>
          <w:lang w:val="uk-UA" w:eastAsia="ru-RU"/>
        </w:rPr>
        <w:t>6</w:t>
      </w:r>
      <w:r w:rsidRPr="00D63CDD">
        <w:rPr>
          <w:rFonts w:ascii="Times New Roman" w:hAnsi="Times New Roman" w:cs="Times New Roman"/>
          <w:lang w:val="uk-UA" w:eastAsia="ru-RU"/>
        </w:rPr>
        <w:t xml:space="preserve">. </w:t>
      </w:r>
      <w:r w:rsidRPr="00D63CDD">
        <w:rPr>
          <w:rFonts w:ascii="Times New Roman" w:hAnsi="Times New Roman" w:cs="Times New Roman"/>
          <w:color w:val="000000" w:themeColor="text1"/>
          <w:spacing w:val="-17"/>
        </w:rPr>
        <w:t xml:space="preserve">У </w:t>
      </w:r>
      <w:proofErr w:type="spellStart"/>
      <w:r w:rsidRPr="00D63CDD">
        <w:rPr>
          <w:rFonts w:ascii="Times New Roman" w:hAnsi="Times New Roman" w:cs="Times New Roman"/>
          <w:color w:val="000000" w:themeColor="text1"/>
        </w:rPr>
        <w:t>випадку</w:t>
      </w:r>
      <w:proofErr w:type="spellEnd"/>
      <w:r w:rsidRPr="00D63CDD">
        <w:rPr>
          <w:rFonts w:ascii="Times New Roman" w:hAnsi="Times New Roman" w:cs="Times New Roman"/>
          <w:color w:val="000000" w:themeColor="text1"/>
        </w:rPr>
        <w:t xml:space="preserve"> </w:t>
      </w:r>
      <w:proofErr w:type="spellStart"/>
      <w:r w:rsidRPr="00D63CDD">
        <w:rPr>
          <w:rFonts w:ascii="Times New Roman" w:hAnsi="Times New Roman" w:cs="Times New Roman"/>
          <w:color w:val="000000" w:themeColor="text1"/>
        </w:rPr>
        <w:t>проведення</w:t>
      </w:r>
      <w:proofErr w:type="spellEnd"/>
      <w:r w:rsidRPr="00D63CDD">
        <w:rPr>
          <w:rFonts w:ascii="Times New Roman" w:hAnsi="Times New Roman" w:cs="Times New Roman"/>
          <w:color w:val="000000" w:themeColor="text1"/>
        </w:rPr>
        <w:t xml:space="preserve"> </w:t>
      </w:r>
      <w:proofErr w:type="spellStart"/>
      <w:r w:rsidRPr="00D63CDD">
        <w:rPr>
          <w:rFonts w:ascii="Times New Roman" w:hAnsi="Times New Roman" w:cs="Times New Roman"/>
          <w:color w:val="000000" w:themeColor="text1"/>
        </w:rPr>
        <w:t>електронних</w:t>
      </w:r>
      <w:proofErr w:type="spellEnd"/>
      <w:r w:rsidRPr="00D63CDD">
        <w:rPr>
          <w:rFonts w:ascii="Times New Roman" w:hAnsi="Times New Roman" w:cs="Times New Roman"/>
          <w:color w:val="000000" w:themeColor="text1"/>
        </w:rPr>
        <w:t xml:space="preserve"> </w:t>
      </w:r>
      <w:proofErr w:type="spellStart"/>
      <w:r w:rsidRPr="00D63CDD">
        <w:rPr>
          <w:rFonts w:ascii="Times New Roman" w:hAnsi="Times New Roman" w:cs="Times New Roman"/>
          <w:color w:val="000000" w:themeColor="text1"/>
        </w:rPr>
        <w:t>торгів</w:t>
      </w:r>
      <w:proofErr w:type="spellEnd"/>
      <w:r w:rsidRPr="00D63CDD">
        <w:rPr>
          <w:rFonts w:ascii="Times New Roman" w:hAnsi="Times New Roman" w:cs="Times New Roman"/>
          <w:color w:val="000000" w:themeColor="text1"/>
        </w:rPr>
        <w:t xml:space="preserve"> з </w:t>
      </w:r>
      <w:r w:rsidRPr="00811601">
        <w:rPr>
          <w:rFonts w:ascii="Times New Roman" w:hAnsi="Times New Roman" w:cs="Times New Roman"/>
          <w:b/>
          <w:bCs/>
          <w:color w:val="000000" w:themeColor="text1"/>
        </w:rPr>
        <w:t>продажу майна</w:t>
      </w:r>
      <w:r w:rsidRPr="00811601">
        <w:rPr>
          <w:rFonts w:ascii="Times New Roman" w:hAnsi="Times New Roman" w:cs="Times New Roman"/>
          <w:b/>
          <w:bCs/>
          <w:color w:val="000000" w:themeColor="text1"/>
          <w:lang w:val="uk-UA"/>
        </w:rPr>
        <w:t xml:space="preserve"> на електронному аукціоні</w:t>
      </w:r>
      <w:r w:rsidRPr="00D63CDD">
        <w:rPr>
          <w:rFonts w:ascii="Times New Roman" w:hAnsi="Times New Roman" w:cs="Times New Roman"/>
          <w:color w:val="000000" w:themeColor="text1"/>
        </w:rPr>
        <w:t xml:space="preserve">, </w:t>
      </w:r>
      <w:proofErr w:type="spellStart"/>
      <w:r w:rsidRPr="00D63CDD">
        <w:rPr>
          <w:rFonts w:ascii="Times New Roman" w:hAnsi="Times New Roman" w:cs="Times New Roman"/>
          <w:color w:val="000000" w:themeColor="text1"/>
        </w:rPr>
        <w:t>винагорода</w:t>
      </w:r>
      <w:proofErr w:type="spellEnd"/>
      <w:r w:rsidRPr="00D63CDD">
        <w:rPr>
          <w:rFonts w:ascii="Times New Roman" w:hAnsi="Times New Roman" w:cs="Times New Roman"/>
          <w:color w:val="000000" w:themeColor="text1"/>
        </w:rPr>
        <w:t xml:space="preserve"> </w:t>
      </w:r>
      <w:proofErr w:type="spellStart"/>
      <w:r w:rsidRPr="00D63CDD">
        <w:rPr>
          <w:rFonts w:ascii="Times New Roman" w:hAnsi="Times New Roman" w:cs="Times New Roman"/>
          <w:color w:val="000000" w:themeColor="text1"/>
        </w:rPr>
        <w:t>визначається</w:t>
      </w:r>
      <w:proofErr w:type="spellEnd"/>
      <w:r w:rsidRPr="00D63CDD">
        <w:rPr>
          <w:rFonts w:ascii="Times New Roman" w:hAnsi="Times New Roman" w:cs="Times New Roman"/>
          <w:color w:val="000000" w:themeColor="text1"/>
        </w:rPr>
        <w:t xml:space="preserve"> у </w:t>
      </w:r>
      <w:proofErr w:type="spellStart"/>
      <w:r w:rsidRPr="00D63CDD">
        <w:rPr>
          <w:rFonts w:ascii="Times New Roman" w:hAnsi="Times New Roman" w:cs="Times New Roman"/>
          <w:color w:val="000000" w:themeColor="text1"/>
        </w:rPr>
        <w:t>залежності</w:t>
      </w:r>
      <w:proofErr w:type="spellEnd"/>
      <w:r w:rsidRPr="00D63CDD">
        <w:rPr>
          <w:rFonts w:ascii="Times New Roman" w:hAnsi="Times New Roman" w:cs="Times New Roman"/>
          <w:color w:val="000000" w:themeColor="text1"/>
        </w:rPr>
        <w:t xml:space="preserve"> </w:t>
      </w:r>
      <w:proofErr w:type="spellStart"/>
      <w:r w:rsidRPr="00D63CDD">
        <w:rPr>
          <w:rFonts w:ascii="Times New Roman" w:hAnsi="Times New Roman" w:cs="Times New Roman"/>
          <w:color w:val="000000" w:themeColor="text1"/>
        </w:rPr>
        <w:t>від</w:t>
      </w:r>
      <w:proofErr w:type="spellEnd"/>
      <w:r w:rsidRPr="00D63CDD">
        <w:rPr>
          <w:rFonts w:ascii="Times New Roman" w:hAnsi="Times New Roman" w:cs="Times New Roman"/>
          <w:color w:val="000000" w:themeColor="text1"/>
        </w:rPr>
        <w:t xml:space="preserve"> </w:t>
      </w:r>
      <w:proofErr w:type="spellStart"/>
      <w:r w:rsidRPr="00D63CDD">
        <w:rPr>
          <w:rFonts w:ascii="Times New Roman" w:hAnsi="Times New Roman" w:cs="Times New Roman"/>
          <w:color w:val="000000" w:themeColor="text1"/>
        </w:rPr>
        <w:t>кінцевої</w:t>
      </w:r>
      <w:proofErr w:type="spellEnd"/>
      <w:r w:rsidRPr="00D63CDD">
        <w:rPr>
          <w:rFonts w:ascii="Times New Roman" w:hAnsi="Times New Roman" w:cs="Times New Roman"/>
          <w:color w:val="000000" w:themeColor="text1"/>
        </w:rPr>
        <w:t xml:space="preserve"> </w:t>
      </w:r>
      <w:proofErr w:type="spellStart"/>
      <w:r w:rsidRPr="00D63CDD">
        <w:rPr>
          <w:rFonts w:ascii="Times New Roman" w:hAnsi="Times New Roman" w:cs="Times New Roman"/>
          <w:color w:val="000000" w:themeColor="text1"/>
        </w:rPr>
        <w:t>вартості</w:t>
      </w:r>
      <w:proofErr w:type="spellEnd"/>
      <w:r w:rsidRPr="00D63CDD">
        <w:rPr>
          <w:rFonts w:ascii="Times New Roman" w:hAnsi="Times New Roman" w:cs="Times New Roman"/>
          <w:color w:val="000000" w:themeColor="text1"/>
        </w:rPr>
        <w:t xml:space="preserve"> продажу лоту </w:t>
      </w:r>
      <w:r w:rsidR="002911C1">
        <w:rPr>
          <w:rFonts w:ascii="Times New Roman" w:hAnsi="Times New Roman" w:cs="Times New Roman"/>
          <w:color w:val="000000" w:themeColor="text1"/>
          <w:lang w:val="uk-UA"/>
        </w:rPr>
        <w:t xml:space="preserve">та </w:t>
      </w:r>
      <w:r w:rsidR="002F29CF">
        <w:rPr>
          <w:rFonts w:ascii="Times New Roman" w:hAnsi="Times New Roman" w:cs="Times New Roman"/>
          <w:color w:val="000000" w:themeColor="text1"/>
          <w:lang w:val="uk-UA"/>
        </w:rPr>
        <w:t>становить 5%</w:t>
      </w:r>
      <w:r w:rsidR="00E9574E">
        <w:rPr>
          <w:rFonts w:ascii="Times New Roman" w:hAnsi="Times New Roman" w:cs="Times New Roman"/>
          <w:color w:val="000000" w:themeColor="text1"/>
          <w:lang w:val="uk-UA"/>
        </w:rPr>
        <w:t xml:space="preserve"> з ПДВ</w:t>
      </w:r>
      <w:r w:rsidR="002F29CF">
        <w:rPr>
          <w:rFonts w:ascii="Times New Roman" w:hAnsi="Times New Roman" w:cs="Times New Roman"/>
          <w:color w:val="000000" w:themeColor="text1"/>
          <w:lang w:val="uk-UA"/>
        </w:rPr>
        <w:t>.</w:t>
      </w:r>
    </w:p>
    <w:p w14:paraId="570B949D" w14:textId="186D98FF" w:rsidR="00386154" w:rsidRPr="00F06BBF" w:rsidRDefault="00386154" w:rsidP="002F29CF">
      <w:pPr>
        <w:pStyle w:val="a6"/>
        <w:jc w:val="both"/>
        <w:rPr>
          <w:rFonts w:ascii="Times New Roman" w:hAnsi="Times New Roman" w:cs="Times New Roman"/>
          <w:lang w:val="uk-UA" w:eastAsia="ru-RU"/>
        </w:rPr>
      </w:pPr>
    </w:p>
    <w:p w14:paraId="5DB188EB" w14:textId="38045225" w:rsidR="00D97490" w:rsidRPr="00D97490" w:rsidRDefault="00F06BBF" w:rsidP="00D97490">
      <w:pPr>
        <w:pStyle w:val="a6"/>
        <w:jc w:val="both"/>
        <w:rPr>
          <w:rFonts w:ascii="Times New Roman" w:hAnsi="Times New Roman" w:cs="Times New Roman"/>
          <w:lang w:val="uk-UA"/>
        </w:rPr>
      </w:pPr>
      <w:r>
        <w:rPr>
          <w:rFonts w:ascii="Times New Roman" w:hAnsi="Times New Roman" w:cs="Times New Roman"/>
        </w:rPr>
        <w:lastRenderedPageBreak/>
        <w:t xml:space="preserve">             3.4</w:t>
      </w:r>
      <w:r w:rsidR="00844DB9" w:rsidRPr="00D63CDD">
        <w:rPr>
          <w:rFonts w:ascii="Times New Roman" w:hAnsi="Times New Roman" w:cs="Times New Roman"/>
        </w:rPr>
        <w:t>.  Ро</w:t>
      </w:r>
      <w:proofErr w:type="spellStart"/>
      <w:r w:rsidR="00844DB9" w:rsidRPr="00D63CDD">
        <w:rPr>
          <w:rFonts w:ascii="Times New Roman" w:hAnsi="Times New Roman" w:cs="Times New Roman"/>
          <w:lang w:val="uk-UA"/>
        </w:rPr>
        <w:t>змір</w:t>
      </w:r>
      <w:proofErr w:type="spellEnd"/>
      <w:r w:rsidR="00844DB9" w:rsidRPr="00D63CDD">
        <w:rPr>
          <w:rFonts w:ascii="Times New Roman" w:hAnsi="Times New Roman" w:cs="Times New Roman"/>
          <w:lang w:val="uk-UA"/>
        </w:rPr>
        <w:t xml:space="preserve"> грошової винагороди Оператора </w:t>
      </w:r>
      <w:r w:rsidR="00844DB9" w:rsidRPr="007C35CC">
        <w:rPr>
          <w:rFonts w:ascii="Times New Roman" w:hAnsi="Times New Roman" w:cs="Times New Roman"/>
          <w:lang w:val="uk-UA"/>
        </w:rPr>
        <w:t>з</w:t>
      </w:r>
      <w:r w:rsidR="00844DB9" w:rsidRPr="00D63CDD">
        <w:rPr>
          <w:rFonts w:ascii="Times New Roman" w:hAnsi="Times New Roman" w:cs="Times New Roman"/>
          <w:b/>
          <w:lang w:val="uk-UA"/>
        </w:rPr>
        <w:t xml:space="preserve"> </w:t>
      </w:r>
      <w:r w:rsidR="00844DB9" w:rsidRPr="00811601">
        <w:rPr>
          <w:rFonts w:ascii="Times New Roman" w:hAnsi="Times New Roman" w:cs="Times New Roman"/>
          <w:b/>
          <w:lang w:val="uk-UA"/>
        </w:rPr>
        <w:t xml:space="preserve">передачі в оренду державного та комунального майна </w:t>
      </w:r>
      <w:r w:rsidR="00D97490" w:rsidRPr="00D97490">
        <w:rPr>
          <w:rFonts w:ascii="Times New Roman" w:hAnsi="Times New Roman" w:cs="Times New Roman"/>
          <w:lang w:val="uk-UA"/>
        </w:rPr>
        <w:t xml:space="preserve">становить 5 відсотків річної орендної плати за результатами електронного аукціону та вираховується оператором </w:t>
      </w:r>
      <w:proofErr w:type="gramStart"/>
      <w:r w:rsidR="00D97490" w:rsidRPr="00D97490">
        <w:rPr>
          <w:rFonts w:ascii="Times New Roman" w:hAnsi="Times New Roman" w:cs="Times New Roman"/>
          <w:lang w:val="uk-UA"/>
        </w:rPr>
        <w:t>в порядку</w:t>
      </w:r>
      <w:proofErr w:type="gramEnd"/>
      <w:r w:rsidR="00D97490" w:rsidRPr="00D97490">
        <w:rPr>
          <w:rFonts w:ascii="Times New Roman" w:hAnsi="Times New Roman" w:cs="Times New Roman"/>
          <w:lang w:val="uk-UA"/>
        </w:rPr>
        <w:t xml:space="preserve"> та строки, передбачені пунктом 9.2 цього Регламенту.</w:t>
      </w:r>
    </w:p>
    <w:p w14:paraId="5B35363A" w14:textId="6B33F830" w:rsidR="00D97490" w:rsidRPr="00D97490" w:rsidRDefault="00D97490" w:rsidP="00D97490">
      <w:pPr>
        <w:pStyle w:val="a6"/>
        <w:jc w:val="both"/>
        <w:rPr>
          <w:rFonts w:ascii="Times New Roman" w:hAnsi="Times New Roman" w:cs="Times New Roman"/>
          <w:lang w:val="uk-UA"/>
        </w:rPr>
      </w:pPr>
      <w:r w:rsidRPr="00D97490">
        <w:rPr>
          <w:rFonts w:ascii="Times New Roman" w:hAnsi="Times New Roman" w:cs="Times New Roman"/>
          <w:lang w:val="uk-UA"/>
        </w:rPr>
        <w:t xml:space="preserve">              У випадку якщо строк (термін) дії договору складає менше 12 місяців, плата за</w:t>
      </w:r>
      <w:r>
        <w:rPr>
          <w:rFonts w:ascii="Times New Roman" w:hAnsi="Times New Roman" w:cs="Times New Roman"/>
          <w:lang w:val="uk-UA"/>
        </w:rPr>
        <w:t xml:space="preserve"> </w:t>
      </w:r>
      <w:r w:rsidRPr="00D97490">
        <w:rPr>
          <w:rFonts w:ascii="Times New Roman" w:hAnsi="Times New Roman" w:cs="Times New Roman"/>
          <w:lang w:val="uk-UA"/>
        </w:rPr>
        <w:t>участь (винагорода) оператора становить 5 відсотків від фактичної ціни договору (встановленої за результатами аукціону) за повний строк (термін) дії такого</w:t>
      </w:r>
      <w:r w:rsidR="002F29CF">
        <w:rPr>
          <w:rFonts w:ascii="Times New Roman" w:hAnsi="Times New Roman" w:cs="Times New Roman"/>
          <w:lang w:val="uk-UA"/>
        </w:rPr>
        <w:t xml:space="preserve"> </w:t>
      </w:r>
      <w:r w:rsidRPr="00D97490">
        <w:rPr>
          <w:rFonts w:ascii="Times New Roman" w:hAnsi="Times New Roman" w:cs="Times New Roman"/>
          <w:lang w:val="uk-UA"/>
        </w:rPr>
        <w:t>договору.</w:t>
      </w:r>
    </w:p>
    <w:p w14:paraId="2D42BF95" w14:textId="2A21DF1A" w:rsidR="00D94F41" w:rsidRPr="00D97490" w:rsidRDefault="00D97490" w:rsidP="00D97490">
      <w:pPr>
        <w:pStyle w:val="a6"/>
        <w:jc w:val="both"/>
        <w:rPr>
          <w:rFonts w:ascii="Times New Roman" w:hAnsi="Times New Roman" w:cs="Times New Roman"/>
          <w:lang w:val="uk-UA"/>
        </w:rPr>
      </w:pPr>
      <w:r w:rsidRPr="00D97490">
        <w:rPr>
          <w:rFonts w:ascii="Times New Roman" w:hAnsi="Times New Roman" w:cs="Times New Roman"/>
          <w:lang w:val="uk-UA"/>
        </w:rPr>
        <w:t xml:space="preserve">              У випадку невиконання переможцем дій, передбачених п.7.29 Регламенту ЕТС,</w:t>
      </w:r>
      <w:r w:rsidR="002F29CF">
        <w:rPr>
          <w:rFonts w:ascii="Times New Roman" w:hAnsi="Times New Roman" w:cs="Times New Roman"/>
          <w:lang w:val="uk-UA"/>
        </w:rPr>
        <w:t xml:space="preserve"> </w:t>
      </w:r>
      <w:r w:rsidRPr="00D97490">
        <w:rPr>
          <w:rFonts w:ascii="Times New Roman" w:hAnsi="Times New Roman" w:cs="Times New Roman"/>
          <w:lang w:val="uk-UA"/>
        </w:rPr>
        <w:t>плата за участь (винагорода) оператора становить 50 відсотків гарантійного внеску</w:t>
      </w:r>
      <w:r w:rsidR="002F29CF">
        <w:rPr>
          <w:rFonts w:ascii="Times New Roman" w:hAnsi="Times New Roman" w:cs="Times New Roman"/>
          <w:lang w:val="uk-UA"/>
        </w:rPr>
        <w:t xml:space="preserve"> </w:t>
      </w:r>
      <w:r w:rsidRPr="00D97490">
        <w:rPr>
          <w:rFonts w:ascii="Times New Roman" w:hAnsi="Times New Roman" w:cs="Times New Roman"/>
          <w:lang w:val="uk-UA"/>
        </w:rPr>
        <w:t>такого переможця.</w:t>
      </w:r>
    </w:p>
    <w:p w14:paraId="1E9B3A48" w14:textId="4797D9FD" w:rsidR="002911C1" w:rsidRPr="00B80B75" w:rsidRDefault="00B80B75" w:rsidP="00B80B75">
      <w:pPr>
        <w:autoSpaceDE w:val="0"/>
        <w:autoSpaceDN w:val="0"/>
        <w:adjustRightInd w:val="0"/>
        <w:spacing w:after="0" w:line="240" w:lineRule="auto"/>
        <w:jc w:val="both"/>
        <w:rPr>
          <w:rFonts w:ascii="Times New Roman" w:hAnsi="Times New Roman" w:cs="Times New Roman"/>
        </w:rPr>
      </w:pPr>
      <w:r>
        <w:rPr>
          <w:lang w:eastAsia="ru-RU"/>
        </w:rPr>
        <w:t xml:space="preserve">      </w:t>
      </w:r>
      <w:r w:rsidRPr="00B80B75">
        <w:rPr>
          <w:rFonts w:ascii="Times New Roman" w:hAnsi="Times New Roman" w:cs="Times New Roman"/>
          <w:lang w:eastAsia="ru-RU"/>
        </w:rPr>
        <w:t>3</w:t>
      </w:r>
      <w:r w:rsidR="00F06BBF" w:rsidRPr="00B80B75">
        <w:rPr>
          <w:rFonts w:ascii="Times New Roman" w:hAnsi="Times New Roman" w:cs="Times New Roman"/>
        </w:rPr>
        <w:t>.5</w:t>
      </w:r>
      <w:r w:rsidR="008824BB" w:rsidRPr="00B80B75">
        <w:rPr>
          <w:rFonts w:ascii="Times New Roman" w:hAnsi="Times New Roman" w:cs="Times New Roman"/>
        </w:rPr>
        <w:t xml:space="preserve">.  </w:t>
      </w:r>
      <w:proofErr w:type="spellStart"/>
      <w:r w:rsidR="008824BB" w:rsidRPr="00B80B75">
        <w:rPr>
          <w:rFonts w:ascii="Times New Roman" w:hAnsi="Times New Roman" w:cs="Times New Roman"/>
        </w:rPr>
        <w:t>Грошова</w:t>
      </w:r>
      <w:proofErr w:type="spellEnd"/>
      <w:r w:rsidR="008824BB" w:rsidRPr="00B80B75">
        <w:rPr>
          <w:rFonts w:ascii="Times New Roman" w:hAnsi="Times New Roman" w:cs="Times New Roman"/>
        </w:rPr>
        <w:t xml:space="preserve"> </w:t>
      </w:r>
      <w:proofErr w:type="spellStart"/>
      <w:r w:rsidR="008824BB" w:rsidRPr="00B80B75">
        <w:rPr>
          <w:rFonts w:ascii="Times New Roman" w:hAnsi="Times New Roman" w:cs="Times New Roman"/>
        </w:rPr>
        <w:t>винагорода</w:t>
      </w:r>
      <w:proofErr w:type="spellEnd"/>
      <w:r w:rsidR="008824BB" w:rsidRPr="00B80B75">
        <w:rPr>
          <w:rFonts w:ascii="Times New Roman" w:hAnsi="Times New Roman" w:cs="Times New Roman"/>
        </w:rPr>
        <w:t xml:space="preserve"> Оператора за </w:t>
      </w:r>
      <w:proofErr w:type="spellStart"/>
      <w:r w:rsidR="008824BB" w:rsidRPr="00B80B75">
        <w:rPr>
          <w:rFonts w:ascii="Times New Roman" w:hAnsi="Times New Roman" w:cs="Times New Roman"/>
        </w:rPr>
        <w:t>організацію</w:t>
      </w:r>
      <w:proofErr w:type="spellEnd"/>
      <w:r w:rsidR="008824BB" w:rsidRPr="00B80B75">
        <w:rPr>
          <w:rFonts w:ascii="Times New Roman" w:hAnsi="Times New Roman" w:cs="Times New Roman"/>
        </w:rPr>
        <w:t xml:space="preserve"> та </w:t>
      </w:r>
      <w:proofErr w:type="spellStart"/>
      <w:r w:rsidR="008824BB" w:rsidRPr="00B80B75">
        <w:rPr>
          <w:rFonts w:ascii="Times New Roman" w:hAnsi="Times New Roman" w:cs="Times New Roman"/>
        </w:rPr>
        <w:t>проведення</w:t>
      </w:r>
      <w:proofErr w:type="spellEnd"/>
      <w:r w:rsidR="008824BB" w:rsidRPr="00B80B75">
        <w:rPr>
          <w:rFonts w:ascii="Times New Roman" w:hAnsi="Times New Roman" w:cs="Times New Roman"/>
        </w:rPr>
        <w:t xml:space="preserve"> </w:t>
      </w:r>
      <w:proofErr w:type="spellStart"/>
      <w:r w:rsidR="008824BB" w:rsidRPr="00B80B75">
        <w:rPr>
          <w:rFonts w:ascii="Times New Roman" w:hAnsi="Times New Roman" w:cs="Times New Roman"/>
        </w:rPr>
        <w:t>аукціону</w:t>
      </w:r>
      <w:proofErr w:type="spellEnd"/>
      <w:r w:rsidR="008824BB" w:rsidRPr="00B80B75">
        <w:rPr>
          <w:rFonts w:ascii="Times New Roman" w:hAnsi="Times New Roman" w:cs="Times New Roman"/>
        </w:rPr>
        <w:t xml:space="preserve"> з </w:t>
      </w:r>
      <w:r w:rsidR="008824BB" w:rsidRPr="00B80B75">
        <w:rPr>
          <w:rFonts w:ascii="Times New Roman" w:hAnsi="Times New Roman" w:cs="Times New Roman"/>
          <w:b/>
          <w:bCs/>
          <w:color w:val="000000" w:themeColor="text1"/>
        </w:rPr>
        <w:t xml:space="preserve">продажу </w:t>
      </w:r>
      <w:proofErr w:type="spellStart"/>
      <w:r w:rsidR="008824BB" w:rsidRPr="00B80B75">
        <w:rPr>
          <w:rFonts w:ascii="Times New Roman" w:hAnsi="Times New Roman" w:cs="Times New Roman"/>
          <w:b/>
          <w:bCs/>
          <w:color w:val="000000" w:themeColor="text1"/>
        </w:rPr>
        <w:t>спеціальних</w:t>
      </w:r>
      <w:proofErr w:type="spellEnd"/>
      <w:r w:rsidR="008824BB" w:rsidRPr="00B80B75">
        <w:rPr>
          <w:rFonts w:ascii="Times New Roman" w:hAnsi="Times New Roman" w:cs="Times New Roman"/>
          <w:b/>
          <w:bCs/>
          <w:color w:val="000000" w:themeColor="text1"/>
        </w:rPr>
        <w:t xml:space="preserve"> </w:t>
      </w:r>
      <w:proofErr w:type="spellStart"/>
      <w:r w:rsidR="008824BB" w:rsidRPr="00B80B75">
        <w:rPr>
          <w:rFonts w:ascii="Times New Roman" w:hAnsi="Times New Roman" w:cs="Times New Roman"/>
          <w:b/>
          <w:bCs/>
          <w:color w:val="000000" w:themeColor="text1"/>
        </w:rPr>
        <w:t>дозволів</w:t>
      </w:r>
      <w:proofErr w:type="spellEnd"/>
      <w:r w:rsidR="008824BB" w:rsidRPr="00B80B75">
        <w:rPr>
          <w:rFonts w:ascii="Times New Roman" w:hAnsi="Times New Roman" w:cs="Times New Roman"/>
          <w:b/>
          <w:bCs/>
          <w:color w:val="000000" w:themeColor="text1"/>
        </w:rPr>
        <w:t xml:space="preserve"> на </w:t>
      </w:r>
      <w:proofErr w:type="spellStart"/>
      <w:r w:rsidR="008824BB" w:rsidRPr="00B80B75">
        <w:rPr>
          <w:rFonts w:ascii="Times New Roman" w:hAnsi="Times New Roman" w:cs="Times New Roman"/>
          <w:b/>
          <w:bCs/>
          <w:color w:val="000000" w:themeColor="text1"/>
        </w:rPr>
        <w:t>користування</w:t>
      </w:r>
      <w:proofErr w:type="spellEnd"/>
      <w:r w:rsidR="008824BB" w:rsidRPr="00B80B75">
        <w:rPr>
          <w:rFonts w:ascii="Times New Roman" w:hAnsi="Times New Roman" w:cs="Times New Roman"/>
          <w:b/>
          <w:bCs/>
          <w:color w:val="000000" w:themeColor="text1"/>
        </w:rPr>
        <w:t xml:space="preserve"> </w:t>
      </w:r>
      <w:proofErr w:type="spellStart"/>
      <w:r w:rsidR="008824BB" w:rsidRPr="00B80B75">
        <w:rPr>
          <w:rFonts w:ascii="Times New Roman" w:hAnsi="Times New Roman" w:cs="Times New Roman"/>
          <w:b/>
          <w:bCs/>
          <w:color w:val="000000" w:themeColor="text1"/>
        </w:rPr>
        <w:t>надрами</w:t>
      </w:r>
      <w:proofErr w:type="spellEnd"/>
      <w:r w:rsidR="008824BB" w:rsidRPr="00B80B75">
        <w:rPr>
          <w:rFonts w:ascii="Times New Roman" w:hAnsi="Times New Roman" w:cs="Times New Roman"/>
          <w:b/>
          <w:bCs/>
          <w:color w:val="000000" w:themeColor="text1"/>
        </w:rPr>
        <w:t xml:space="preserve"> </w:t>
      </w:r>
      <w:proofErr w:type="spellStart"/>
      <w:r w:rsidR="008824BB" w:rsidRPr="00B80B75">
        <w:rPr>
          <w:rFonts w:ascii="Times New Roman" w:hAnsi="Times New Roman" w:cs="Times New Roman"/>
        </w:rPr>
        <w:t>встановлюється</w:t>
      </w:r>
      <w:proofErr w:type="spellEnd"/>
      <w:r w:rsidR="008824BB" w:rsidRPr="00B80B75">
        <w:rPr>
          <w:rFonts w:ascii="Times New Roman" w:hAnsi="Times New Roman" w:cs="Times New Roman"/>
        </w:rPr>
        <w:t xml:space="preserve"> у таких </w:t>
      </w:r>
      <w:proofErr w:type="spellStart"/>
      <w:r w:rsidR="008824BB" w:rsidRPr="00B80B75">
        <w:rPr>
          <w:rFonts w:ascii="Times New Roman" w:hAnsi="Times New Roman" w:cs="Times New Roman"/>
        </w:rPr>
        <w:t>розмірах</w:t>
      </w:r>
      <w:proofErr w:type="spellEnd"/>
      <w:r w:rsidR="008824BB" w:rsidRPr="00B80B75">
        <w:rPr>
          <w:rFonts w:ascii="Times New Roman" w:hAnsi="Times New Roman" w:cs="Times New Roman"/>
        </w:rPr>
        <w:t xml:space="preserve">: </w:t>
      </w:r>
    </w:p>
    <w:tbl>
      <w:tblPr>
        <w:tblStyle w:val="TableNormal"/>
        <w:tblW w:w="892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8"/>
        <w:gridCol w:w="4253"/>
      </w:tblGrid>
      <w:tr w:rsidR="001B2069" w14:paraId="7E5F85DD" w14:textId="77777777" w:rsidTr="0054409E">
        <w:trPr>
          <w:trHeight w:val="398"/>
        </w:trPr>
        <w:tc>
          <w:tcPr>
            <w:tcW w:w="4668" w:type="dxa"/>
            <w:vAlign w:val="center"/>
          </w:tcPr>
          <w:p w14:paraId="6AA24A97" w14:textId="77777777" w:rsidR="001B2069" w:rsidRPr="001B2069" w:rsidRDefault="001B2069" w:rsidP="0054409E">
            <w:pPr>
              <w:pStyle w:val="ab"/>
              <w:jc w:val="center"/>
              <w:rPr>
                <w:b/>
                <w:bCs/>
                <w:color w:val="000000" w:themeColor="text1"/>
              </w:rPr>
            </w:pPr>
            <w:r w:rsidRPr="001B2069">
              <w:rPr>
                <w:b/>
                <w:bCs/>
                <w:color w:val="000000" w:themeColor="text1"/>
              </w:rPr>
              <w:t>Ціна продажу лоту, грн.</w:t>
            </w:r>
          </w:p>
        </w:tc>
        <w:tc>
          <w:tcPr>
            <w:tcW w:w="4253" w:type="dxa"/>
            <w:vAlign w:val="center"/>
          </w:tcPr>
          <w:p w14:paraId="6F1471D2" w14:textId="77777777" w:rsidR="001B2069" w:rsidRPr="001B2069" w:rsidRDefault="001B2069" w:rsidP="0054409E">
            <w:pPr>
              <w:pStyle w:val="ab"/>
              <w:jc w:val="center"/>
              <w:rPr>
                <w:b/>
                <w:bCs/>
                <w:color w:val="000000" w:themeColor="text1"/>
              </w:rPr>
            </w:pPr>
            <w:r w:rsidRPr="001B2069">
              <w:rPr>
                <w:b/>
                <w:bCs/>
                <w:color w:val="000000" w:themeColor="text1"/>
              </w:rPr>
              <w:t>Плата за участь, з ПДВ</w:t>
            </w:r>
          </w:p>
        </w:tc>
      </w:tr>
      <w:tr w:rsidR="001B2069" w14:paraId="6DAFB7F1" w14:textId="77777777" w:rsidTr="0054409E">
        <w:trPr>
          <w:trHeight w:val="398"/>
        </w:trPr>
        <w:tc>
          <w:tcPr>
            <w:tcW w:w="4668" w:type="dxa"/>
            <w:vAlign w:val="center"/>
          </w:tcPr>
          <w:p w14:paraId="319F63CD" w14:textId="37FCDFDA" w:rsidR="001B2069" w:rsidRPr="001B2069" w:rsidRDefault="001B2069" w:rsidP="0054409E">
            <w:pPr>
              <w:pStyle w:val="ab"/>
              <w:jc w:val="center"/>
            </w:pPr>
            <w:r w:rsidRPr="001B2069">
              <w:t>до 15 000 000,00</w:t>
            </w:r>
          </w:p>
        </w:tc>
        <w:tc>
          <w:tcPr>
            <w:tcW w:w="4253" w:type="dxa"/>
            <w:vAlign w:val="center"/>
          </w:tcPr>
          <w:p w14:paraId="4AC47455" w14:textId="050CF3A8" w:rsidR="001B2069" w:rsidRPr="001B2069" w:rsidRDefault="001B2069" w:rsidP="0054409E">
            <w:pPr>
              <w:pStyle w:val="ab"/>
              <w:jc w:val="center"/>
            </w:pPr>
            <w:r w:rsidRPr="001B2069">
              <w:t>1 %</w:t>
            </w:r>
          </w:p>
        </w:tc>
      </w:tr>
      <w:tr w:rsidR="001B2069" w14:paraId="501EE990" w14:textId="77777777" w:rsidTr="0054409E">
        <w:trPr>
          <w:trHeight w:val="398"/>
        </w:trPr>
        <w:tc>
          <w:tcPr>
            <w:tcW w:w="4668" w:type="dxa"/>
            <w:vAlign w:val="center"/>
          </w:tcPr>
          <w:p w14:paraId="09309B4E" w14:textId="7373EE10" w:rsidR="001B2069" w:rsidRPr="001B2069" w:rsidRDefault="001B2069" w:rsidP="0054409E">
            <w:pPr>
              <w:pStyle w:val="ab"/>
              <w:jc w:val="center"/>
            </w:pPr>
            <w:r w:rsidRPr="001B2069">
              <w:t>понад 15 000 000,01</w:t>
            </w:r>
          </w:p>
        </w:tc>
        <w:tc>
          <w:tcPr>
            <w:tcW w:w="4253" w:type="dxa"/>
            <w:vAlign w:val="center"/>
          </w:tcPr>
          <w:p w14:paraId="28C2B177" w14:textId="00B1ECAA" w:rsidR="001B2069" w:rsidRPr="001B2069" w:rsidRDefault="001B2069" w:rsidP="0054409E">
            <w:pPr>
              <w:pStyle w:val="ab"/>
              <w:jc w:val="center"/>
            </w:pPr>
            <w:r w:rsidRPr="001B2069">
              <w:t>0,5 %</w:t>
            </w:r>
          </w:p>
        </w:tc>
      </w:tr>
    </w:tbl>
    <w:p w14:paraId="3A29A4C1" w14:textId="77777777" w:rsidR="001B2069" w:rsidRDefault="001B2069" w:rsidP="000610F2">
      <w:pPr>
        <w:pStyle w:val="a6"/>
        <w:jc w:val="both"/>
        <w:rPr>
          <w:rFonts w:ascii="Times New Roman" w:hAnsi="Times New Roman" w:cs="Times New Roman"/>
          <w:lang w:val="uk-UA" w:eastAsia="ru-RU"/>
        </w:rPr>
      </w:pPr>
    </w:p>
    <w:p w14:paraId="69D639E6" w14:textId="25698142" w:rsidR="00763F43" w:rsidRDefault="00EA4D48" w:rsidP="000610F2">
      <w:pPr>
        <w:pStyle w:val="a6"/>
        <w:jc w:val="both"/>
        <w:rPr>
          <w:rFonts w:ascii="Times New Roman" w:hAnsi="Times New Roman" w:cs="Times New Roman"/>
          <w:lang w:val="uk-UA" w:eastAsia="ru-RU"/>
        </w:rPr>
      </w:pPr>
      <w:r>
        <w:rPr>
          <w:rFonts w:ascii="Times New Roman" w:hAnsi="Times New Roman" w:cs="Times New Roman"/>
          <w:lang w:val="uk-UA" w:eastAsia="ru-RU"/>
        </w:rPr>
        <w:t xml:space="preserve">     </w:t>
      </w:r>
      <w:r w:rsidR="00763F43">
        <w:rPr>
          <w:rFonts w:ascii="Times New Roman" w:hAnsi="Times New Roman" w:cs="Times New Roman"/>
          <w:lang w:val="uk-UA" w:eastAsia="ru-RU"/>
        </w:rPr>
        <w:t xml:space="preserve">3.5.1. Грошова винагорода Оператора у випадку проведення електронних аукціонів з </w:t>
      </w:r>
      <w:r w:rsidR="00763F43" w:rsidRPr="00763F43">
        <w:rPr>
          <w:rFonts w:ascii="Times New Roman" w:hAnsi="Times New Roman" w:cs="Times New Roman"/>
          <w:b/>
          <w:lang w:val="uk-UA" w:eastAsia="ru-RU"/>
        </w:rPr>
        <w:t>продажу майна АТ «Укрзалізниця»</w:t>
      </w:r>
      <w:r w:rsidR="00763F43">
        <w:rPr>
          <w:rFonts w:ascii="Times New Roman" w:hAnsi="Times New Roman" w:cs="Times New Roman"/>
          <w:lang w:val="uk-UA" w:eastAsia="ru-RU"/>
        </w:rPr>
        <w:t xml:space="preserve"> вст</w:t>
      </w:r>
      <w:r w:rsidR="00554A15">
        <w:rPr>
          <w:rFonts w:ascii="Times New Roman" w:hAnsi="Times New Roman" w:cs="Times New Roman"/>
          <w:lang w:val="uk-UA" w:eastAsia="ru-RU"/>
        </w:rPr>
        <w:t xml:space="preserve">ановлюється у розмірі </w:t>
      </w:r>
      <w:r w:rsidR="00D97490">
        <w:rPr>
          <w:rFonts w:ascii="Times New Roman" w:hAnsi="Times New Roman" w:cs="Times New Roman"/>
          <w:lang w:val="uk-UA" w:eastAsia="ru-RU"/>
        </w:rPr>
        <w:t>5</w:t>
      </w:r>
      <w:r w:rsidR="00554A15">
        <w:rPr>
          <w:rFonts w:ascii="Times New Roman" w:hAnsi="Times New Roman" w:cs="Times New Roman"/>
          <w:lang w:val="uk-UA" w:eastAsia="ru-RU"/>
        </w:rPr>
        <w:t xml:space="preserve"> відсотк</w:t>
      </w:r>
      <w:r w:rsidR="00D97490">
        <w:rPr>
          <w:rFonts w:ascii="Times New Roman" w:hAnsi="Times New Roman" w:cs="Times New Roman"/>
          <w:lang w:val="uk-UA" w:eastAsia="ru-RU"/>
        </w:rPr>
        <w:t>ів</w:t>
      </w:r>
      <w:r w:rsidR="00763F43">
        <w:rPr>
          <w:rFonts w:ascii="Times New Roman" w:hAnsi="Times New Roman" w:cs="Times New Roman"/>
          <w:lang w:val="uk-UA" w:eastAsia="ru-RU"/>
        </w:rPr>
        <w:t xml:space="preserve"> від ціни продажу, встановленої за результатами електронного аукціону з урахуванням ПДВ.</w:t>
      </w:r>
    </w:p>
    <w:p w14:paraId="78D73384" w14:textId="2663F4D4" w:rsidR="00EA4D48" w:rsidRDefault="00EA4D48" w:rsidP="00EA4D48">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lang w:val="uk-UA" w:eastAsia="ru-RU"/>
        </w:rPr>
        <w:t xml:space="preserve">      3.5.2</w:t>
      </w:r>
      <w:r w:rsidR="004A652F">
        <w:rPr>
          <w:rFonts w:ascii="Times New Roman" w:hAnsi="Times New Roman" w:cs="Times New Roman"/>
          <w:lang w:val="uk-UA" w:eastAsia="ru-RU"/>
        </w:rPr>
        <w:t>.</w:t>
      </w:r>
      <w:r>
        <w:rPr>
          <w:rFonts w:ascii="Times New Roman" w:hAnsi="Times New Roman" w:cs="Times New Roman"/>
          <w:lang w:val="uk-UA" w:eastAsia="ru-RU"/>
        </w:rPr>
        <w:t xml:space="preserve"> </w:t>
      </w:r>
      <w:r w:rsidRPr="00EA4D48">
        <w:rPr>
          <w:rFonts w:ascii="Times New Roman" w:hAnsi="Times New Roman" w:cs="Times New Roman"/>
          <w:color w:val="000000" w:themeColor="text1"/>
          <w:spacing w:val="-17"/>
        </w:rPr>
        <w:t xml:space="preserve">У </w:t>
      </w:r>
      <w:proofErr w:type="spellStart"/>
      <w:r w:rsidRPr="00EA4D48">
        <w:rPr>
          <w:rFonts w:ascii="Times New Roman" w:hAnsi="Times New Roman" w:cs="Times New Roman"/>
          <w:color w:val="000000" w:themeColor="text1"/>
        </w:rPr>
        <w:t>випадку</w:t>
      </w:r>
      <w:proofErr w:type="spellEnd"/>
      <w:r w:rsidRPr="00EA4D48">
        <w:rPr>
          <w:rFonts w:ascii="Times New Roman" w:hAnsi="Times New Roman" w:cs="Times New Roman"/>
          <w:color w:val="000000" w:themeColor="text1"/>
        </w:rPr>
        <w:t xml:space="preserve"> </w:t>
      </w:r>
      <w:proofErr w:type="spellStart"/>
      <w:r w:rsidRPr="00EA4D48">
        <w:rPr>
          <w:rFonts w:ascii="Times New Roman" w:hAnsi="Times New Roman" w:cs="Times New Roman"/>
          <w:color w:val="000000" w:themeColor="text1"/>
        </w:rPr>
        <w:t>проведення</w:t>
      </w:r>
      <w:proofErr w:type="spellEnd"/>
      <w:r w:rsidRPr="00EA4D48">
        <w:rPr>
          <w:rFonts w:ascii="Times New Roman" w:hAnsi="Times New Roman" w:cs="Times New Roman"/>
          <w:color w:val="000000" w:themeColor="text1"/>
        </w:rPr>
        <w:t xml:space="preserve"> </w:t>
      </w:r>
      <w:proofErr w:type="spellStart"/>
      <w:r w:rsidRPr="00EA4D48">
        <w:rPr>
          <w:rFonts w:ascii="Times New Roman" w:hAnsi="Times New Roman" w:cs="Times New Roman"/>
          <w:color w:val="000000" w:themeColor="text1"/>
        </w:rPr>
        <w:t>електронних</w:t>
      </w:r>
      <w:proofErr w:type="spellEnd"/>
      <w:r w:rsidRPr="00EA4D48">
        <w:rPr>
          <w:rFonts w:ascii="Times New Roman" w:hAnsi="Times New Roman" w:cs="Times New Roman"/>
          <w:color w:val="000000" w:themeColor="text1"/>
        </w:rPr>
        <w:t xml:space="preserve"> </w:t>
      </w:r>
      <w:proofErr w:type="spellStart"/>
      <w:r w:rsidRPr="00EA4D48">
        <w:rPr>
          <w:rFonts w:ascii="Times New Roman" w:hAnsi="Times New Roman" w:cs="Times New Roman"/>
          <w:color w:val="000000" w:themeColor="text1"/>
        </w:rPr>
        <w:t>торгів</w:t>
      </w:r>
      <w:proofErr w:type="spellEnd"/>
      <w:r w:rsidRPr="00EA4D48">
        <w:rPr>
          <w:rFonts w:ascii="Times New Roman" w:hAnsi="Times New Roman" w:cs="Times New Roman"/>
          <w:b/>
          <w:bCs/>
        </w:rPr>
        <w:t xml:space="preserve"> з продажу </w:t>
      </w:r>
      <w:proofErr w:type="spellStart"/>
      <w:r w:rsidRPr="00EA4D48">
        <w:rPr>
          <w:rFonts w:ascii="Times New Roman" w:hAnsi="Times New Roman" w:cs="Times New Roman"/>
          <w:b/>
          <w:bCs/>
        </w:rPr>
        <w:t>послуг</w:t>
      </w:r>
      <w:proofErr w:type="spellEnd"/>
      <w:r w:rsidRPr="00EA4D48">
        <w:rPr>
          <w:rFonts w:ascii="Times New Roman" w:hAnsi="Times New Roman" w:cs="Times New Roman"/>
          <w:b/>
          <w:bCs/>
        </w:rPr>
        <w:t xml:space="preserve"> </w:t>
      </w:r>
      <w:proofErr w:type="spellStart"/>
      <w:r w:rsidRPr="00EA4D48">
        <w:rPr>
          <w:rFonts w:ascii="Times New Roman" w:hAnsi="Times New Roman" w:cs="Times New Roman"/>
          <w:b/>
          <w:bCs/>
        </w:rPr>
        <w:t>із</w:t>
      </w:r>
      <w:proofErr w:type="spellEnd"/>
      <w:r w:rsidRPr="00EA4D48">
        <w:rPr>
          <w:rFonts w:ascii="Times New Roman" w:hAnsi="Times New Roman" w:cs="Times New Roman"/>
          <w:b/>
          <w:bCs/>
        </w:rPr>
        <w:t xml:space="preserve"> </w:t>
      </w:r>
      <w:proofErr w:type="spellStart"/>
      <w:r w:rsidRPr="00EA4D48">
        <w:rPr>
          <w:rFonts w:ascii="Times New Roman" w:hAnsi="Times New Roman" w:cs="Times New Roman"/>
          <w:b/>
          <w:bCs/>
        </w:rPr>
        <w:t>використання</w:t>
      </w:r>
      <w:proofErr w:type="spellEnd"/>
      <w:r w:rsidRPr="00EA4D48">
        <w:rPr>
          <w:rFonts w:ascii="Times New Roman" w:hAnsi="Times New Roman" w:cs="Times New Roman"/>
          <w:b/>
          <w:bCs/>
        </w:rPr>
        <w:t xml:space="preserve"> </w:t>
      </w:r>
      <w:proofErr w:type="spellStart"/>
      <w:r w:rsidRPr="00EA4D48">
        <w:rPr>
          <w:rFonts w:ascii="Times New Roman" w:hAnsi="Times New Roman" w:cs="Times New Roman"/>
          <w:b/>
          <w:bCs/>
        </w:rPr>
        <w:t>вагонів</w:t>
      </w:r>
      <w:proofErr w:type="spellEnd"/>
      <w:r w:rsidRPr="00EA4D48">
        <w:rPr>
          <w:rFonts w:ascii="Times New Roman" w:hAnsi="Times New Roman" w:cs="Times New Roman"/>
          <w:b/>
          <w:bCs/>
        </w:rPr>
        <w:t xml:space="preserve"> </w:t>
      </w:r>
      <w:proofErr w:type="spellStart"/>
      <w:r w:rsidRPr="00EA4D48">
        <w:rPr>
          <w:rFonts w:ascii="Times New Roman" w:hAnsi="Times New Roman" w:cs="Times New Roman"/>
          <w:b/>
          <w:bCs/>
        </w:rPr>
        <w:t>власності</w:t>
      </w:r>
      <w:proofErr w:type="spellEnd"/>
      <w:r w:rsidRPr="00EA4D48">
        <w:rPr>
          <w:rFonts w:ascii="Times New Roman" w:hAnsi="Times New Roman" w:cs="Times New Roman"/>
          <w:b/>
          <w:bCs/>
        </w:rPr>
        <w:t xml:space="preserve"> АТ «</w:t>
      </w:r>
      <w:proofErr w:type="spellStart"/>
      <w:r w:rsidRPr="00EA4D48">
        <w:rPr>
          <w:rFonts w:ascii="Times New Roman" w:hAnsi="Times New Roman" w:cs="Times New Roman"/>
          <w:b/>
          <w:bCs/>
        </w:rPr>
        <w:t>Укрзалізниця</w:t>
      </w:r>
      <w:proofErr w:type="spellEnd"/>
      <w:r w:rsidRPr="00EA4D48">
        <w:rPr>
          <w:rFonts w:ascii="Times New Roman" w:hAnsi="Times New Roman" w:cs="Times New Roman"/>
          <w:b/>
          <w:bCs/>
        </w:rPr>
        <w:t xml:space="preserve">» </w:t>
      </w:r>
      <w:proofErr w:type="spellStart"/>
      <w:r w:rsidRPr="00EA4D48">
        <w:rPr>
          <w:rFonts w:ascii="Times New Roman" w:hAnsi="Times New Roman" w:cs="Times New Roman"/>
          <w:b/>
          <w:bCs/>
        </w:rPr>
        <w:t>винагорода</w:t>
      </w:r>
      <w:proofErr w:type="spellEnd"/>
      <w:r w:rsidRPr="00EA4D48">
        <w:rPr>
          <w:rFonts w:ascii="Times New Roman" w:hAnsi="Times New Roman" w:cs="Times New Roman"/>
          <w:b/>
          <w:bCs/>
        </w:rPr>
        <w:t xml:space="preserve"> становить:</w:t>
      </w:r>
    </w:p>
    <w:tbl>
      <w:tblPr>
        <w:tblStyle w:val="a4"/>
        <w:tblW w:w="9573" w:type="dxa"/>
        <w:tblInd w:w="-34" w:type="dxa"/>
        <w:tblLook w:val="04A0" w:firstRow="1" w:lastRow="0" w:firstColumn="1" w:lastColumn="0" w:noHBand="0" w:noVBand="1"/>
      </w:tblPr>
      <w:tblGrid>
        <w:gridCol w:w="2581"/>
        <w:gridCol w:w="2977"/>
        <w:gridCol w:w="4015"/>
      </w:tblGrid>
      <w:tr w:rsidR="004A652F" w:rsidRPr="00012AF0" w14:paraId="2B72834B" w14:textId="77777777" w:rsidTr="004A652F">
        <w:trPr>
          <w:trHeight w:val="332"/>
        </w:trPr>
        <w:tc>
          <w:tcPr>
            <w:tcW w:w="2581" w:type="dxa"/>
            <w:vAlign w:val="center"/>
            <w:hideMark/>
          </w:tcPr>
          <w:p w14:paraId="29D89341" w14:textId="76DEEDE0" w:rsidR="004A652F" w:rsidRPr="004A652F" w:rsidRDefault="004A652F" w:rsidP="0054409E">
            <w:pPr>
              <w:pStyle w:val="ab"/>
              <w:jc w:val="center"/>
              <w:rPr>
                <w:b/>
                <w:bCs/>
                <w:color w:val="000000" w:themeColor="text1"/>
              </w:rPr>
            </w:pPr>
            <w:r w:rsidRPr="004A652F">
              <w:rPr>
                <w:b/>
                <w:bCs/>
                <w:color w:val="000000" w:themeColor="text1"/>
              </w:rPr>
              <w:t>Реєстраційний внесок, грн з ПДВ</w:t>
            </w:r>
          </w:p>
        </w:tc>
        <w:tc>
          <w:tcPr>
            <w:tcW w:w="6992" w:type="dxa"/>
            <w:gridSpan w:val="2"/>
            <w:vAlign w:val="center"/>
            <w:hideMark/>
          </w:tcPr>
          <w:p w14:paraId="37F0C997" w14:textId="070FD17C" w:rsidR="004A652F" w:rsidRPr="001B2069" w:rsidRDefault="004A652F" w:rsidP="0054409E">
            <w:pPr>
              <w:pStyle w:val="ab"/>
              <w:jc w:val="center"/>
              <w:rPr>
                <w:b/>
                <w:bCs/>
                <w:color w:val="000000" w:themeColor="text1"/>
              </w:rPr>
            </w:pPr>
            <w:r>
              <w:rPr>
                <w:b/>
                <w:bCs/>
                <w:color w:val="000000" w:themeColor="text1"/>
              </w:rPr>
              <w:t>Винагорода майданчика</w:t>
            </w:r>
          </w:p>
        </w:tc>
      </w:tr>
      <w:tr w:rsidR="004A652F" w:rsidRPr="00012AF0" w14:paraId="67978EBA" w14:textId="77777777" w:rsidTr="004A652F">
        <w:trPr>
          <w:trHeight w:val="332"/>
        </w:trPr>
        <w:tc>
          <w:tcPr>
            <w:tcW w:w="2581" w:type="dxa"/>
            <w:vMerge w:val="restart"/>
            <w:vAlign w:val="center"/>
          </w:tcPr>
          <w:p w14:paraId="63239B20" w14:textId="59E151DB" w:rsidR="004A652F" w:rsidRPr="001B2069" w:rsidRDefault="004A652F" w:rsidP="0054409E">
            <w:pPr>
              <w:pStyle w:val="ab"/>
              <w:jc w:val="center"/>
              <w:rPr>
                <w:color w:val="000000" w:themeColor="text1"/>
              </w:rPr>
            </w:pPr>
            <w:r>
              <w:rPr>
                <w:color w:val="000000" w:themeColor="text1"/>
              </w:rPr>
              <w:t>17,00</w:t>
            </w:r>
          </w:p>
        </w:tc>
        <w:tc>
          <w:tcPr>
            <w:tcW w:w="2977" w:type="dxa"/>
            <w:vAlign w:val="center"/>
          </w:tcPr>
          <w:p w14:paraId="68031462" w14:textId="6CA86536" w:rsidR="004A652F" w:rsidRPr="004A652F" w:rsidRDefault="004A652F" w:rsidP="0054409E">
            <w:pPr>
              <w:pStyle w:val="ab"/>
              <w:jc w:val="center"/>
              <w:rPr>
                <w:b/>
                <w:bCs/>
                <w:color w:val="000000" w:themeColor="text1"/>
              </w:rPr>
            </w:pPr>
            <w:r w:rsidRPr="004A652F">
              <w:rPr>
                <w:b/>
                <w:bCs/>
                <w:color w:val="000000" w:themeColor="text1"/>
              </w:rPr>
              <w:t xml:space="preserve">Кількість вагонів в лоті, </w:t>
            </w:r>
            <w:proofErr w:type="spellStart"/>
            <w:r w:rsidRPr="004A652F">
              <w:rPr>
                <w:b/>
                <w:bCs/>
                <w:color w:val="000000" w:themeColor="text1"/>
              </w:rPr>
              <w:t>шт</w:t>
            </w:r>
            <w:proofErr w:type="spellEnd"/>
          </w:p>
        </w:tc>
        <w:tc>
          <w:tcPr>
            <w:tcW w:w="4015" w:type="dxa"/>
            <w:vAlign w:val="center"/>
          </w:tcPr>
          <w:p w14:paraId="5931D3CF" w14:textId="215393F5" w:rsidR="004A652F" w:rsidRPr="004A652F" w:rsidRDefault="004A652F" w:rsidP="0054409E">
            <w:pPr>
              <w:pStyle w:val="ab"/>
              <w:jc w:val="center"/>
              <w:rPr>
                <w:b/>
                <w:bCs/>
                <w:color w:val="000000" w:themeColor="text1"/>
              </w:rPr>
            </w:pPr>
            <w:r w:rsidRPr="004A652F">
              <w:rPr>
                <w:b/>
                <w:bCs/>
                <w:color w:val="000000" w:themeColor="text1"/>
              </w:rPr>
              <w:t>Розмір винагороди, грн з ПДВ</w:t>
            </w:r>
          </w:p>
        </w:tc>
      </w:tr>
      <w:tr w:rsidR="004A652F" w:rsidRPr="004A652F" w14:paraId="611859AA" w14:textId="77777777" w:rsidTr="004A652F">
        <w:trPr>
          <w:trHeight w:val="332"/>
        </w:trPr>
        <w:tc>
          <w:tcPr>
            <w:tcW w:w="2581" w:type="dxa"/>
            <w:vMerge/>
            <w:vAlign w:val="center"/>
          </w:tcPr>
          <w:p w14:paraId="3C4B704E" w14:textId="242C3DB3" w:rsidR="004A652F" w:rsidRPr="001B2069" w:rsidRDefault="004A652F" w:rsidP="0054409E">
            <w:pPr>
              <w:pStyle w:val="ab"/>
              <w:jc w:val="center"/>
              <w:rPr>
                <w:color w:val="000000" w:themeColor="text1"/>
              </w:rPr>
            </w:pPr>
          </w:p>
        </w:tc>
        <w:tc>
          <w:tcPr>
            <w:tcW w:w="2977" w:type="dxa"/>
            <w:vAlign w:val="center"/>
          </w:tcPr>
          <w:p w14:paraId="3520280B" w14:textId="49E2C37B" w:rsidR="004A652F" w:rsidRPr="001B2069" w:rsidRDefault="004A652F" w:rsidP="0054409E">
            <w:pPr>
              <w:pStyle w:val="ab"/>
              <w:jc w:val="center"/>
              <w:rPr>
                <w:color w:val="000000" w:themeColor="text1"/>
              </w:rPr>
            </w:pPr>
            <w:r>
              <w:rPr>
                <w:color w:val="000000" w:themeColor="text1"/>
              </w:rPr>
              <w:t xml:space="preserve">до 10 000 </w:t>
            </w:r>
          </w:p>
        </w:tc>
        <w:tc>
          <w:tcPr>
            <w:tcW w:w="4015" w:type="dxa"/>
            <w:vAlign w:val="center"/>
          </w:tcPr>
          <w:p w14:paraId="12A63694" w14:textId="306334ED" w:rsidR="004A652F" w:rsidRPr="004A652F" w:rsidRDefault="004A652F" w:rsidP="004A652F">
            <w:pPr>
              <w:autoSpaceDE w:val="0"/>
              <w:autoSpaceDN w:val="0"/>
              <w:adjustRightInd w:val="0"/>
              <w:jc w:val="center"/>
              <w:rPr>
                <w:rFonts w:ascii="Times New Roman" w:hAnsi="Times New Roman" w:cs="Times New Roman"/>
                <w:lang w:val="uk-UA"/>
              </w:rPr>
            </w:pPr>
            <w:r w:rsidRPr="004A652F">
              <w:rPr>
                <w:rFonts w:ascii="Times New Roman" w:hAnsi="Times New Roman" w:cs="Times New Roman"/>
                <w:lang w:val="uk-UA"/>
              </w:rPr>
              <w:t>5</w:t>
            </w:r>
            <w:r>
              <w:rPr>
                <w:rFonts w:ascii="Times New Roman" w:hAnsi="Times New Roman" w:cs="Times New Roman"/>
                <w:lang w:val="uk-UA"/>
              </w:rPr>
              <w:t>%</w:t>
            </w:r>
            <w:r w:rsidRPr="004A652F">
              <w:rPr>
                <w:rFonts w:ascii="Times New Roman" w:hAnsi="Times New Roman" w:cs="Times New Roman"/>
                <w:lang w:val="uk-UA"/>
              </w:rPr>
              <w:t xml:space="preserve"> від ціни реалізації,</w:t>
            </w:r>
          </w:p>
          <w:p w14:paraId="2DAD0151" w14:textId="06737CF4" w:rsidR="004A652F" w:rsidRPr="001B2069" w:rsidRDefault="004A652F" w:rsidP="004A652F">
            <w:pPr>
              <w:pStyle w:val="ab"/>
              <w:jc w:val="center"/>
              <w:rPr>
                <w:color w:val="000000" w:themeColor="text1"/>
              </w:rPr>
            </w:pPr>
            <w:r w:rsidRPr="00EA4D48">
              <w:t>помноженої на кількість вагонів лот</w:t>
            </w:r>
            <w:r>
              <w:t>у</w:t>
            </w:r>
          </w:p>
        </w:tc>
      </w:tr>
      <w:tr w:rsidR="004A652F" w:rsidRPr="004A652F" w14:paraId="47038122" w14:textId="77777777" w:rsidTr="004A652F">
        <w:trPr>
          <w:trHeight w:val="332"/>
        </w:trPr>
        <w:tc>
          <w:tcPr>
            <w:tcW w:w="2581" w:type="dxa"/>
            <w:vMerge/>
            <w:vAlign w:val="center"/>
          </w:tcPr>
          <w:p w14:paraId="7E34B568" w14:textId="23966AF9" w:rsidR="004A652F" w:rsidRPr="001B2069" w:rsidRDefault="004A652F" w:rsidP="0054409E">
            <w:pPr>
              <w:pStyle w:val="ab"/>
              <w:jc w:val="center"/>
              <w:rPr>
                <w:color w:val="000000" w:themeColor="text1"/>
              </w:rPr>
            </w:pPr>
          </w:p>
        </w:tc>
        <w:tc>
          <w:tcPr>
            <w:tcW w:w="2977" w:type="dxa"/>
            <w:vAlign w:val="center"/>
          </w:tcPr>
          <w:p w14:paraId="47205124" w14:textId="328A4CA0" w:rsidR="004A652F" w:rsidRPr="001B2069" w:rsidRDefault="004A652F" w:rsidP="0054409E">
            <w:pPr>
              <w:pStyle w:val="ab"/>
              <w:jc w:val="center"/>
              <w:rPr>
                <w:color w:val="000000" w:themeColor="text1"/>
              </w:rPr>
            </w:pPr>
            <w:r w:rsidRPr="00EA4D48">
              <w:t xml:space="preserve">10 001 </w:t>
            </w:r>
            <w:r>
              <w:t xml:space="preserve">- </w:t>
            </w:r>
            <w:r w:rsidRPr="00EA4D48">
              <w:t>50 000</w:t>
            </w:r>
          </w:p>
        </w:tc>
        <w:tc>
          <w:tcPr>
            <w:tcW w:w="4015" w:type="dxa"/>
            <w:vAlign w:val="center"/>
          </w:tcPr>
          <w:p w14:paraId="3DD59D62" w14:textId="7B651981" w:rsidR="004A652F" w:rsidRPr="001B2069" w:rsidRDefault="004A652F" w:rsidP="004A652F">
            <w:pPr>
              <w:pStyle w:val="ab"/>
              <w:jc w:val="center"/>
              <w:rPr>
                <w:color w:val="000000" w:themeColor="text1"/>
              </w:rPr>
            </w:pPr>
            <w:r w:rsidRPr="00EA4D48">
              <w:t>1,5</w:t>
            </w:r>
            <w:r>
              <w:t>%</w:t>
            </w:r>
            <w:r w:rsidRPr="00EA4D48">
              <w:t xml:space="preserve"> від ціни</w:t>
            </w:r>
            <w:r>
              <w:t xml:space="preserve"> </w:t>
            </w:r>
            <w:r w:rsidRPr="00EA4D48">
              <w:t>реалізації, помноженої на кількість вагонів</w:t>
            </w:r>
            <w:r>
              <w:t xml:space="preserve"> лоту</w:t>
            </w:r>
          </w:p>
        </w:tc>
      </w:tr>
      <w:tr w:rsidR="004A652F" w:rsidRPr="004A652F" w14:paraId="63410059" w14:textId="77777777" w:rsidTr="004A652F">
        <w:trPr>
          <w:trHeight w:val="332"/>
        </w:trPr>
        <w:tc>
          <w:tcPr>
            <w:tcW w:w="2581" w:type="dxa"/>
            <w:vMerge/>
            <w:vAlign w:val="center"/>
          </w:tcPr>
          <w:p w14:paraId="765134C8" w14:textId="77777777" w:rsidR="004A652F" w:rsidRPr="001B2069" w:rsidRDefault="004A652F" w:rsidP="0054409E">
            <w:pPr>
              <w:pStyle w:val="ab"/>
              <w:jc w:val="center"/>
              <w:rPr>
                <w:color w:val="000000" w:themeColor="text1"/>
              </w:rPr>
            </w:pPr>
          </w:p>
        </w:tc>
        <w:tc>
          <w:tcPr>
            <w:tcW w:w="2977" w:type="dxa"/>
            <w:vAlign w:val="center"/>
          </w:tcPr>
          <w:p w14:paraId="2462D2AC" w14:textId="7CC9A5D8" w:rsidR="004A652F" w:rsidRPr="001B2069" w:rsidRDefault="004A652F" w:rsidP="0054409E">
            <w:pPr>
              <w:pStyle w:val="ab"/>
              <w:jc w:val="center"/>
              <w:rPr>
                <w:color w:val="000000" w:themeColor="text1"/>
              </w:rPr>
            </w:pPr>
            <w:r>
              <w:rPr>
                <w:color w:val="000000" w:themeColor="text1"/>
              </w:rPr>
              <w:t xml:space="preserve">понад 50 001 </w:t>
            </w:r>
          </w:p>
        </w:tc>
        <w:tc>
          <w:tcPr>
            <w:tcW w:w="4015" w:type="dxa"/>
            <w:vAlign w:val="center"/>
          </w:tcPr>
          <w:p w14:paraId="055F8317" w14:textId="2BAF82C7" w:rsidR="004A652F" w:rsidRPr="004A652F" w:rsidRDefault="004A652F" w:rsidP="004A652F">
            <w:pPr>
              <w:autoSpaceDE w:val="0"/>
              <w:autoSpaceDN w:val="0"/>
              <w:adjustRightInd w:val="0"/>
              <w:jc w:val="center"/>
              <w:rPr>
                <w:rFonts w:ascii="Times New Roman" w:hAnsi="Times New Roman" w:cs="Times New Roman"/>
                <w:lang w:val="uk-UA"/>
              </w:rPr>
            </w:pPr>
            <w:r w:rsidRPr="004A652F">
              <w:rPr>
                <w:rFonts w:ascii="Times New Roman" w:hAnsi="Times New Roman" w:cs="Times New Roman"/>
                <w:lang w:val="uk-UA"/>
              </w:rPr>
              <w:t>0,7</w:t>
            </w:r>
            <w:r>
              <w:rPr>
                <w:rFonts w:ascii="Times New Roman" w:hAnsi="Times New Roman" w:cs="Times New Roman"/>
                <w:lang w:val="uk-UA"/>
              </w:rPr>
              <w:t>%</w:t>
            </w:r>
            <w:r w:rsidRPr="004A652F">
              <w:rPr>
                <w:rFonts w:ascii="Times New Roman" w:hAnsi="Times New Roman" w:cs="Times New Roman"/>
                <w:lang w:val="uk-UA"/>
              </w:rPr>
              <w:t xml:space="preserve"> від ціни реалізації,</w:t>
            </w:r>
          </w:p>
          <w:p w14:paraId="7E38C741" w14:textId="6596B38D" w:rsidR="004A652F" w:rsidRPr="001B2069" w:rsidRDefault="004A652F" w:rsidP="004A652F">
            <w:pPr>
              <w:pStyle w:val="ab"/>
              <w:jc w:val="center"/>
              <w:rPr>
                <w:color w:val="000000" w:themeColor="text1"/>
              </w:rPr>
            </w:pPr>
            <w:r w:rsidRPr="00EA4D48">
              <w:t>помноженої на кількість вагонів</w:t>
            </w:r>
            <w:r>
              <w:t xml:space="preserve"> лоту</w:t>
            </w:r>
          </w:p>
        </w:tc>
      </w:tr>
    </w:tbl>
    <w:p w14:paraId="7072B7EA" w14:textId="00D2F94C" w:rsidR="00580830" w:rsidRPr="004A652F" w:rsidRDefault="00580830" w:rsidP="004A652F">
      <w:pPr>
        <w:autoSpaceDE w:val="0"/>
        <w:autoSpaceDN w:val="0"/>
        <w:adjustRightInd w:val="0"/>
        <w:spacing w:after="0" w:line="240" w:lineRule="auto"/>
        <w:jc w:val="both"/>
        <w:rPr>
          <w:rFonts w:ascii="Times New Roman" w:hAnsi="Times New Roman" w:cs="Times New Roman"/>
        </w:rPr>
      </w:pPr>
    </w:p>
    <w:p w14:paraId="4A0A487D" w14:textId="049FE4CD" w:rsidR="00876CFD" w:rsidRDefault="0021500E" w:rsidP="004A652F">
      <w:pPr>
        <w:pStyle w:val="a6"/>
        <w:jc w:val="both"/>
        <w:rPr>
          <w:rFonts w:ascii="Times New Roman" w:hAnsi="Times New Roman" w:cs="Times New Roman"/>
          <w:lang w:val="uk-UA" w:eastAsia="ru-RU"/>
        </w:rPr>
      </w:pPr>
      <w:r>
        <w:rPr>
          <w:rFonts w:ascii="Times New Roman" w:hAnsi="Times New Roman" w:cs="Times New Roman"/>
          <w:lang w:val="uk-UA" w:eastAsia="ru-RU"/>
        </w:rPr>
        <w:t xml:space="preserve">      </w:t>
      </w:r>
      <w:r w:rsidR="004A652F">
        <w:rPr>
          <w:rFonts w:ascii="Times New Roman" w:hAnsi="Times New Roman" w:cs="Times New Roman"/>
          <w:lang w:val="uk-UA" w:eastAsia="ru-RU"/>
        </w:rPr>
        <w:t xml:space="preserve">    </w:t>
      </w:r>
      <w:r>
        <w:rPr>
          <w:rFonts w:ascii="Times New Roman" w:hAnsi="Times New Roman" w:cs="Times New Roman"/>
          <w:lang w:val="uk-UA" w:eastAsia="ru-RU"/>
        </w:rPr>
        <w:t>3.5.</w:t>
      </w:r>
      <w:r w:rsidR="00B80B75">
        <w:rPr>
          <w:rFonts w:ascii="Times New Roman" w:hAnsi="Times New Roman" w:cs="Times New Roman"/>
          <w:lang w:val="uk-UA" w:eastAsia="ru-RU"/>
        </w:rPr>
        <w:t>3</w:t>
      </w:r>
      <w:r>
        <w:rPr>
          <w:rFonts w:ascii="Times New Roman" w:hAnsi="Times New Roman" w:cs="Times New Roman"/>
          <w:lang w:val="uk-UA" w:eastAsia="ru-RU"/>
        </w:rPr>
        <w:t>.</w:t>
      </w:r>
      <w:r w:rsidR="004A652F">
        <w:rPr>
          <w:rFonts w:ascii="Times New Roman" w:hAnsi="Times New Roman" w:cs="Times New Roman"/>
          <w:lang w:val="uk-UA" w:eastAsia="ru-RU"/>
        </w:rPr>
        <w:t xml:space="preserve"> </w:t>
      </w:r>
      <w:r w:rsidR="00876CFD">
        <w:rPr>
          <w:rFonts w:ascii="Times New Roman" w:hAnsi="Times New Roman" w:cs="Times New Roman"/>
          <w:lang w:val="uk-UA" w:eastAsia="ru-RU"/>
        </w:rPr>
        <w:t>Грошова винагорода Оператора</w:t>
      </w:r>
      <w:r w:rsidR="00876CFD" w:rsidRPr="00876CFD">
        <w:rPr>
          <w:rFonts w:ascii="Times New Roman" w:hAnsi="Times New Roman" w:cs="Times New Roman"/>
          <w:lang w:val="uk-UA" w:eastAsia="ru-RU"/>
        </w:rPr>
        <w:t xml:space="preserve"> електронного майданчика </w:t>
      </w:r>
      <w:r w:rsidR="007D4D50">
        <w:rPr>
          <w:rFonts w:ascii="Times New Roman" w:hAnsi="Times New Roman" w:cs="Times New Roman"/>
          <w:lang w:val="uk-UA" w:eastAsia="ru-RU"/>
        </w:rPr>
        <w:t xml:space="preserve">у випадку проведення електронних аукціонів з </w:t>
      </w:r>
      <w:r w:rsidR="007D4D50" w:rsidRPr="00876CFD">
        <w:rPr>
          <w:rFonts w:ascii="Times New Roman" w:hAnsi="Times New Roman" w:cs="Times New Roman"/>
          <w:b/>
          <w:lang w:val="uk-UA" w:eastAsia="ru-RU"/>
        </w:rPr>
        <w:t>продажу земельної ділянки</w:t>
      </w:r>
      <w:r w:rsidR="007D4D50" w:rsidRPr="00876CFD">
        <w:rPr>
          <w:rFonts w:ascii="Times New Roman" w:hAnsi="Times New Roman" w:cs="Times New Roman"/>
          <w:lang w:val="uk-UA" w:eastAsia="ru-RU"/>
        </w:rPr>
        <w:t xml:space="preserve"> (у разі продажу земельної ділянки чи прав емфітевзису, </w:t>
      </w:r>
      <w:proofErr w:type="spellStart"/>
      <w:r w:rsidR="007D4D50" w:rsidRPr="00876CFD">
        <w:rPr>
          <w:rFonts w:ascii="Times New Roman" w:hAnsi="Times New Roman" w:cs="Times New Roman"/>
          <w:lang w:val="uk-UA" w:eastAsia="ru-RU"/>
        </w:rPr>
        <w:t>суперфіцію</w:t>
      </w:r>
      <w:proofErr w:type="spellEnd"/>
      <w:r w:rsidR="007D4D50" w:rsidRPr="00876CFD">
        <w:rPr>
          <w:rFonts w:ascii="Times New Roman" w:hAnsi="Times New Roman" w:cs="Times New Roman"/>
          <w:lang w:val="uk-UA" w:eastAsia="ru-RU"/>
        </w:rPr>
        <w:t xml:space="preserve">) становить </w:t>
      </w:r>
      <w:r w:rsidR="007D4D50" w:rsidRPr="00876CFD">
        <w:rPr>
          <w:rFonts w:ascii="Times New Roman" w:hAnsi="Times New Roman" w:cs="Times New Roman"/>
          <w:b/>
          <w:lang w:val="uk-UA" w:eastAsia="ru-RU"/>
        </w:rPr>
        <w:t xml:space="preserve">5 відсотків ціни </w:t>
      </w:r>
      <w:r w:rsidR="007D4D50" w:rsidRPr="007D4D50">
        <w:rPr>
          <w:rFonts w:ascii="Times New Roman" w:hAnsi="Times New Roman" w:cs="Times New Roman"/>
          <w:b/>
          <w:lang w:val="uk-UA" w:eastAsia="ru-RU"/>
        </w:rPr>
        <w:t>продажу лота з урахуванням ПДВ</w:t>
      </w:r>
      <w:r w:rsidR="007D4D50">
        <w:rPr>
          <w:rFonts w:ascii="Times New Roman" w:hAnsi="Times New Roman" w:cs="Times New Roman"/>
          <w:lang w:val="uk-UA" w:eastAsia="ru-RU"/>
        </w:rPr>
        <w:t xml:space="preserve"> </w:t>
      </w:r>
      <w:r w:rsidR="007D4D50" w:rsidRPr="00876CFD">
        <w:rPr>
          <w:rFonts w:ascii="Times New Roman" w:hAnsi="Times New Roman" w:cs="Times New Roman"/>
          <w:b/>
          <w:lang w:val="uk-UA" w:eastAsia="ru-RU"/>
        </w:rPr>
        <w:t>або річної орендної плати</w:t>
      </w:r>
      <w:r w:rsidR="007D4D50" w:rsidRPr="00876CFD">
        <w:rPr>
          <w:rFonts w:ascii="Times New Roman" w:hAnsi="Times New Roman" w:cs="Times New Roman"/>
          <w:lang w:val="uk-UA" w:eastAsia="ru-RU"/>
        </w:rPr>
        <w:t>, але не може перевищувати суму гарантійного внеску</w:t>
      </w:r>
      <w:r w:rsidR="007D4D50">
        <w:rPr>
          <w:rFonts w:ascii="Times New Roman" w:hAnsi="Times New Roman" w:cs="Times New Roman"/>
          <w:lang w:val="uk-UA" w:eastAsia="ru-RU"/>
        </w:rPr>
        <w:t>.</w:t>
      </w:r>
    </w:p>
    <w:p w14:paraId="2B141E32" w14:textId="636B169D" w:rsidR="007567CD" w:rsidRDefault="005F2A90" w:rsidP="005F2A90">
      <w:pPr>
        <w:pStyle w:val="2"/>
        <w:shd w:val="clear" w:color="auto" w:fill="FFFFFF"/>
        <w:spacing w:before="0" w:beforeAutospacing="0" w:after="225" w:afterAutospacing="0"/>
        <w:textAlignment w:val="baseline"/>
        <w:rPr>
          <w:rFonts w:eastAsiaTheme="minorHAnsi"/>
          <w:b w:val="0"/>
          <w:bCs w:val="0"/>
          <w:sz w:val="22"/>
          <w:szCs w:val="22"/>
          <w:lang w:val="uk-UA"/>
        </w:rPr>
      </w:pPr>
      <w:r>
        <w:rPr>
          <w:lang w:val="uk-UA"/>
        </w:rPr>
        <w:t xml:space="preserve">      </w:t>
      </w:r>
      <w:r w:rsidRPr="005F2A90">
        <w:rPr>
          <w:rFonts w:eastAsiaTheme="minorHAnsi"/>
          <w:b w:val="0"/>
          <w:bCs w:val="0"/>
          <w:sz w:val="22"/>
          <w:szCs w:val="22"/>
          <w:lang w:val="uk-UA"/>
        </w:rPr>
        <w:t>3.5.</w:t>
      </w:r>
      <w:r w:rsidR="004A652F">
        <w:rPr>
          <w:rFonts w:eastAsiaTheme="minorHAnsi"/>
          <w:b w:val="0"/>
          <w:bCs w:val="0"/>
          <w:sz w:val="22"/>
          <w:szCs w:val="22"/>
          <w:lang w:val="uk-UA"/>
        </w:rPr>
        <w:t>4</w:t>
      </w:r>
      <w:r w:rsidRPr="005F2A90">
        <w:rPr>
          <w:rFonts w:eastAsiaTheme="minorHAnsi"/>
          <w:b w:val="0"/>
          <w:bCs w:val="0"/>
          <w:sz w:val="22"/>
          <w:szCs w:val="22"/>
          <w:lang w:val="uk-UA"/>
        </w:rPr>
        <w:t xml:space="preserve">. Грошова винагорода Оператора електронного майданчика у випадку проведення електронних аукціонів з </w:t>
      </w:r>
      <w:r w:rsidRPr="005F2A90">
        <w:rPr>
          <w:rFonts w:eastAsiaTheme="minorHAnsi"/>
          <w:sz w:val="22"/>
          <w:szCs w:val="22"/>
          <w:lang w:val="uk-UA"/>
        </w:rPr>
        <w:t>продажу права спеціального використання водних біоресурсів у рибогосподарських водних об’єктах</w:t>
      </w:r>
      <w:r>
        <w:rPr>
          <w:rFonts w:eastAsiaTheme="minorHAnsi"/>
          <w:b w:val="0"/>
          <w:bCs w:val="0"/>
          <w:sz w:val="22"/>
          <w:szCs w:val="22"/>
          <w:lang w:val="uk-UA"/>
        </w:rPr>
        <w:t xml:space="preserve"> </w:t>
      </w:r>
      <w:r w:rsidRPr="005F2A90">
        <w:rPr>
          <w:rFonts w:eastAsiaTheme="minorHAnsi"/>
          <w:b w:val="0"/>
          <w:bCs w:val="0"/>
          <w:sz w:val="22"/>
          <w:szCs w:val="22"/>
          <w:lang w:val="uk-UA"/>
        </w:rPr>
        <w:t>становить 5% ціни реалізації лота.</w:t>
      </w:r>
    </w:p>
    <w:p w14:paraId="28C57DCA" w14:textId="0B15EAAC" w:rsidR="007567CD" w:rsidRPr="007567CD" w:rsidRDefault="007567CD" w:rsidP="005F2A90">
      <w:pPr>
        <w:pStyle w:val="2"/>
        <w:shd w:val="clear" w:color="auto" w:fill="FFFFFF"/>
        <w:spacing w:before="0" w:beforeAutospacing="0" w:after="225" w:afterAutospacing="0"/>
        <w:textAlignment w:val="baseline"/>
        <w:rPr>
          <w:rFonts w:eastAsiaTheme="minorHAnsi"/>
          <w:b w:val="0"/>
          <w:bCs w:val="0"/>
          <w:sz w:val="22"/>
          <w:szCs w:val="22"/>
          <w:lang w:val="uk-UA"/>
        </w:rPr>
      </w:pPr>
      <w:r>
        <w:rPr>
          <w:rFonts w:eastAsiaTheme="minorHAnsi"/>
          <w:b w:val="0"/>
          <w:bCs w:val="0"/>
          <w:sz w:val="22"/>
          <w:szCs w:val="22"/>
          <w:lang w:val="uk-UA"/>
        </w:rPr>
        <w:t xml:space="preserve">         3.5.</w:t>
      </w:r>
      <w:r w:rsidR="004A652F">
        <w:rPr>
          <w:rFonts w:eastAsiaTheme="minorHAnsi"/>
          <w:b w:val="0"/>
          <w:bCs w:val="0"/>
          <w:sz w:val="22"/>
          <w:szCs w:val="22"/>
          <w:lang w:val="uk-UA"/>
        </w:rPr>
        <w:t>5.</w:t>
      </w:r>
      <w:r>
        <w:rPr>
          <w:rFonts w:eastAsiaTheme="minorHAnsi"/>
          <w:b w:val="0"/>
          <w:bCs w:val="0"/>
          <w:sz w:val="22"/>
          <w:szCs w:val="22"/>
          <w:lang w:val="uk-UA"/>
        </w:rPr>
        <w:t xml:space="preserve"> </w:t>
      </w:r>
      <w:r w:rsidRPr="005F2A90">
        <w:rPr>
          <w:rFonts w:eastAsiaTheme="minorHAnsi"/>
          <w:b w:val="0"/>
          <w:bCs w:val="0"/>
          <w:sz w:val="22"/>
          <w:szCs w:val="22"/>
          <w:lang w:val="uk-UA"/>
        </w:rPr>
        <w:t>Грошова винагорода Оператора електронного майданчика у випадку проведення електронних аукціонів з</w:t>
      </w:r>
      <w:r w:rsidRPr="007567CD">
        <w:rPr>
          <w:rFonts w:eastAsiaTheme="minorHAnsi"/>
          <w:b w:val="0"/>
          <w:bCs w:val="0"/>
          <w:sz w:val="22"/>
          <w:szCs w:val="22"/>
          <w:lang w:val="uk-UA"/>
        </w:rPr>
        <w:t xml:space="preserve"> </w:t>
      </w:r>
      <w:r w:rsidRPr="007567CD">
        <w:rPr>
          <w:rFonts w:eastAsiaTheme="minorHAnsi"/>
          <w:bCs w:val="0"/>
          <w:sz w:val="22"/>
          <w:szCs w:val="22"/>
          <w:lang w:val="uk-UA"/>
        </w:rPr>
        <w:t>продажу бурштину з Державного фонду дорогоцінних металів і дорогоцінного каміння України</w:t>
      </w:r>
      <w:r>
        <w:rPr>
          <w:rFonts w:eastAsiaTheme="minorHAnsi"/>
          <w:bCs w:val="0"/>
          <w:sz w:val="22"/>
          <w:szCs w:val="22"/>
          <w:lang w:val="uk-UA"/>
        </w:rPr>
        <w:t xml:space="preserve"> </w:t>
      </w:r>
      <w:r>
        <w:rPr>
          <w:rFonts w:eastAsiaTheme="minorHAnsi"/>
          <w:b w:val="0"/>
          <w:bCs w:val="0"/>
          <w:sz w:val="22"/>
          <w:szCs w:val="22"/>
          <w:lang w:val="uk-UA"/>
        </w:rPr>
        <w:t xml:space="preserve">становить </w:t>
      </w:r>
      <w:r w:rsidRPr="007567CD">
        <w:rPr>
          <w:rFonts w:eastAsiaTheme="minorHAnsi"/>
          <w:b w:val="0"/>
          <w:bCs w:val="0"/>
          <w:sz w:val="22"/>
          <w:szCs w:val="22"/>
          <w:lang w:val="uk-UA"/>
        </w:rPr>
        <w:t xml:space="preserve">4 </w:t>
      </w:r>
      <w:r w:rsidR="007E17F9">
        <w:rPr>
          <w:rFonts w:eastAsiaTheme="minorHAnsi"/>
          <w:b w:val="0"/>
          <w:bCs w:val="0"/>
          <w:sz w:val="22"/>
          <w:szCs w:val="22"/>
          <w:lang w:val="uk-UA"/>
        </w:rPr>
        <w:t xml:space="preserve">% </w:t>
      </w:r>
      <w:r w:rsidR="007E17F9" w:rsidRPr="005F2A90">
        <w:rPr>
          <w:rFonts w:eastAsiaTheme="minorHAnsi"/>
          <w:b w:val="0"/>
          <w:bCs w:val="0"/>
          <w:sz w:val="22"/>
          <w:szCs w:val="22"/>
          <w:lang w:val="uk-UA"/>
        </w:rPr>
        <w:t>ціни реалізації лота</w:t>
      </w:r>
      <w:r w:rsidR="007E17F9">
        <w:rPr>
          <w:rFonts w:eastAsiaTheme="minorHAnsi"/>
          <w:b w:val="0"/>
          <w:bCs w:val="0"/>
          <w:sz w:val="22"/>
          <w:szCs w:val="22"/>
          <w:lang w:val="uk-UA"/>
        </w:rPr>
        <w:t>.</w:t>
      </w:r>
    </w:p>
    <w:p w14:paraId="2A35B77E" w14:textId="45E8C873" w:rsidR="00386154" w:rsidRPr="00D63CDD" w:rsidRDefault="00D028FD" w:rsidP="00886458">
      <w:pPr>
        <w:autoSpaceDE w:val="0"/>
        <w:autoSpaceDN w:val="0"/>
        <w:adjustRightInd w:val="0"/>
        <w:spacing w:after="0" w:line="240" w:lineRule="auto"/>
        <w:rPr>
          <w:rFonts w:ascii="Times New Roman" w:hAnsi="Times New Roman" w:cs="Times New Roman"/>
          <w:lang w:val="uk-UA" w:eastAsia="ru-RU"/>
        </w:rPr>
      </w:pPr>
      <w:r>
        <w:rPr>
          <w:rFonts w:ascii="Times New Roman" w:hAnsi="Times New Roman" w:cs="Times New Roman"/>
          <w:lang w:val="uk-UA" w:eastAsia="ru-RU"/>
        </w:rPr>
        <w:t xml:space="preserve">      </w:t>
      </w:r>
      <w:r w:rsidR="00886458">
        <w:rPr>
          <w:rFonts w:ascii="Times New Roman" w:hAnsi="Times New Roman" w:cs="Times New Roman"/>
          <w:lang w:val="uk-UA" w:eastAsia="ru-RU"/>
        </w:rPr>
        <w:t xml:space="preserve">     </w:t>
      </w:r>
      <w:r w:rsidR="006C68F9" w:rsidRPr="000610F2">
        <w:rPr>
          <w:rFonts w:ascii="Times New Roman" w:hAnsi="Times New Roman" w:cs="Times New Roman"/>
          <w:lang w:val="uk-UA" w:eastAsia="ru-RU"/>
        </w:rPr>
        <w:t>Надання доступу Користувачу до участі в конкретному аукціоні здійснюється на умовах 100% оплати гарантійного внеску</w:t>
      </w:r>
      <w:r w:rsidR="006827D4">
        <w:rPr>
          <w:rFonts w:ascii="Times New Roman" w:hAnsi="Times New Roman" w:cs="Times New Roman"/>
          <w:lang w:val="uk-UA" w:eastAsia="ru-RU"/>
        </w:rPr>
        <w:t xml:space="preserve"> (та реєстраційного внеску</w:t>
      </w:r>
      <w:r w:rsidR="00530422">
        <w:rPr>
          <w:rFonts w:ascii="Times New Roman" w:hAnsi="Times New Roman" w:cs="Times New Roman"/>
          <w:lang w:val="uk-UA" w:eastAsia="ru-RU"/>
        </w:rPr>
        <w:t xml:space="preserve"> за умовами сплати по відповідній процедурі)</w:t>
      </w:r>
      <w:r w:rsidR="006C68F9" w:rsidRPr="000610F2">
        <w:rPr>
          <w:rFonts w:ascii="Times New Roman" w:hAnsi="Times New Roman" w:cs="Times New Roman"/>
          <w:lang w:val="uk-UA" w:eastAsia="ru-RU"/>
        </w:rPr>
        <w:t>, який вноситься Користувачем до оголошеного в ЕТС строку прийняття пропозицій від Учасників за автоматично сформованим в ЕТС рахунком.</w:t>
      </w:r>
    </w:p>
    <w:p w14:paraId="7B627401" w14:textId="0E95D61C"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3.</w:t>
      </w:r>
      <w:r w:rsidR="00F06BBF">
        <w:rPr>
          <w:rFonts w:ascii="Times New Roman" w:hAnsi="Times New Roman" w:cs="Times New Roman"/>
          <w:lang w:val="uk-UA" w:eastAsia="ru-RU"/>
        </w:rPr>
        <w:t>6</w:t>
      </w:r>
      <w:r w:rsidRPr="00D63CDD">
        <w:rPr>
          <w:rFonts w:ascii="Times New Roman" w:hAnsi="Times New Roman" w:cs="Times New Roman"/>
          <w:lang w:val="uk-UA" w:eastAsia="ru-RU"/>
        </w:rPr>
        <w:t>. Гарантійний внесок може вважатися сплаченим із моменту його зарахування на банківський рахунок Оператора, якщо це відбулося не пізніше ніж за одну годину до закінчення строку подання цінових пропозицій на участь у конкретних електронних торгах.</w:t>
      </w:r>
    </w:p>
    <w:p w14:paraId="7DF474A0" w14:textId="09E88EE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3.</w:t>
      </w:r>
      <w:r w:rsidR="00F06BBF">
        <w:rPr>
          <w:rFonts w:ascii="Times New Roman" w:hAnsi="Times New Roman" w:cs="Times New Roman"/>
          <w:lang w:val="uk-UA" w:eastAsia="ru-RU"/>
        </w:rPr>
        <w:t>7</w:t>
      </w:r>
      <w:r w:rsidRPr="00D63CDD">
        <w:rPr>
          <w:rFonts w:ascii="Times New Roman" w:hAnsi="Times New Roman" w:cs="Times New Roman"/>
          <w:lang w:val="uk-UA" w:eastAsia="ru-RU"/>
        </w:rPr>
        <w:t>. Користувач, у разі незгоди з переглянутими Тарифами, має право відмовитись від Договору, повідомивши про це Оператора письмово. У разі неотримання відмови вважається, що Користувач погоджується з новими Тарифами.</w:t>
      </w:r>
    </w:p>
    <w:p w14:paraId="262B2AD8" w14:textId="78D4D492" w:rsidR="005E0ABA"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3.</w:t>
      </w:r>
      <w:r w:rsidR="00F06BBF">
        <w:rPr>
          <w:rFonts w:ascii="Times New Roman" w:hAnsi="Times New Roman" w:cs="Times New Roman"/>
          <w:lang w:val="uk-UA" w:eastAsia="ru-RU"/>
        </w:rPr>
        <w:t>8</w:t>
      </w:r>
      <w:r w:rsidRPr="00D63CDD">
        <w:rPr>
          <w:rFonts w:ascii="Times New Roman" w:hAnsi="Times New Roman" w:cs="Times New Roman"/>
          <w:lang w:val="uk-UA" w:eastAsia="ru-RU"/>
        </w:rPr>
        <w:t xml:space="preserve">. Повернення в ЕТС сплачених гарантійних внесків учасникам, а також розподіл винагороди Оператора/Операторів здійснюється відповідно до умов </w:t>
      </w:r>
      <w:r w:rsidR="00E82A37" w:rsidRPr="00D63CDD">
        <w:rPr>
          <w:rFonts w:ascii="Times New Roman" w:hAnsi="Times New Roman" w:cs="Times New Roman"/>
          <w:lang w:val="uk-UA" w:eastAsia="ru-RU"/>
        </w:rPr>
        <w:t xml:space="preserve">відповідних </w:t>
      </w:r>
      <w:r w:rsidRPr="00D63CDD">
        <w:rPr>
          <w:rFonts w:ascii="Times New Roman" w:hAnsi="Times New Roman" w:cs="Times New Roman"/>
          <w:lang w:val="uk-UA" w:eastAsia="ru-RU"/>
        </w:rPr>
        <w:t>Регламент</w:t>
      </w:r>
      <w:r w:rsidR="00E82A37" w:rsidRPr="00D63CDD">
        <w:rPr>
          <w:rFonts w:ascii="Times New Roman" w:hAnsi="Times New Roman" w:cs="Times New Roman"/>
          <w:lang w:val="uk-UA" w:eastAsia="ru-RU"/>
        </w:rPr>
        <w:t>ів</w:t>
      </w:r>
      <w:r w:rsidRPr="00D63CDD">
        <w:rPr>
          <w:rFonts w:ascii="Times New Roman" w:hAnsi="Times New Roman" w:cs="Times New Roman"/>
          <w:lang w:val="uk-UA" w:eastAsia="ru-RU"/>
        </w:rPr>
        <w:t xml:space="preserve"> ЕТС. </w:t>
      </w:r>
    </w:p>
    <w:p w14:paraId="611758BD" w14:textId="723F626F"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3.</w:t>
      </w:r>
      <w:r w:rsidR="00F06BBF">
        <w:rPr>
          <w:rFonts w:ascii="Times New Roman" w:hAnsi="Times New Roman" w:cs="Times New Roman"/>
          <w:lang w:val="uk-UA" w:eastAsia="ru-RU"/>
        </w:rPr>
        <w:t>9</w:t>
      </w:r>
      <w:r w:rsidRPr="00D63CDD">
        <w:rPr>
          <w:rFonts w:ascii="Times New Roman" w:hAnsi="Times New Roman" w:cs="Times New Roman"/>
          <w:lang w:val="uk-UA" w:eastAsia="ru-RU"/>
        </w:rPr>
        <w:t xml:space="preserve">. Послуги вважаються належним чином і в повному обсязі наданими, якщо протягом 3 (трьох) робочих днів після дня формування Акту наданих послуг за відповідний період у </w:t>
      </w:r>
      <w:r w:rsidRPr="00D63CDD">
        <w:rPr>
          <w:rFonts w:ascii="Times New Roman" w:hAnsi="Times New Roman" w:cs="Times New Roman"/>
          <w:lang w:val="uk-UA" w:eastAsia="ru-RU"/>
        </w:rPr>
        <w:lastRenderedPageBreak/>
        <w:t>Особистому кабінеті Користувача не пред’явлена претензія. У разі відсутності претензії, акт прийому-передачі виконаних Послуг вважається підписаним, а Послуги – наданими належним чином.</w:t>
      </w:r>
    </w:p>
    <w:p w14:paraId="57B4344F" w14:textId="654247B2"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3.</w:t>
      </w:r>
      <w:r w:rsidR="00F06BBF">
        <w:rPr>
          <w:rFonts w:ascii="Times New Roman" w:hAnsi="Times New Roman" w:cs="Times New Roman"/>
          <w:lang w:val="uk-UA" w:eastAsia="ru-RU"/>
        </w:rPr>
        <w:t>10</w:t>
      </w:r>
      <w:r w:rsidRPr="00D63CDD">
        <w:rPr>
          <w:rFonts w:ascii="Times New Roman" w:hAnsi="Times New Roman" w:cs="Times New Roman"/>
          <w:lang w:val="uk-UA" w:eastAsia="ru-RU"/>
        </w:rPr>
        <w:t>. Користувач здійснює акцепт Оферти і укладення Договору шляхом попередньої оплати з власного розрахункового рахунку або завантаження сканованих копій документів для фізичних осіб в порядку передбаченому п.2.4. Оферти.</w:t>
      </w:r>
    </w:p>
    <w:p w14:paraId="374798E3"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4. Термін дії і зміна умов Оферти</w:t>
      </w:r>
    </w:p>
    <w:p w14:paraId="50C0FC4E"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 xml:space="preserve">4.1. Оферта набуває чинності з моменту розміщення в мережі Інтернет за </w:t>
      </w:r>
      <w:proofErr w:type="spellStart"/>
      <w:r w:rsidRPr="00D63CDD">
        <w:rPr>
          <w:rFonts w:ascii="Times New Roman" w:hAnsi="Times New Roman" w:cs="Times New Roman"/>
          <w:lang w:val="uk-UA" w:eastAsia="ru-RU"/>
        </w:rPr>
        <w:t>адресою</w:t>
      </w:r>
      <w:proofErr w:type="spellEnd"/>
      <w:r w:rsidRPr="00D63CDD">
        <w:rPr>
          <w:rFonts w:ascii="Times New Roman" w:hAnsi="Times New Roman" w:cs="Times New Roman"/>
          <w:lang w:val="uk-UA" w:eastAsia="ru-RU"/>
        </w:rPr>
        <w:t xml:space="preserve">: </w:t>
      </w:r>
      <w:r w:rsidR="005E0ABA" w:rsidRPr="00D63CDD">
        <w:rPr>
          <w:rStyle w:val="a3"/>
          <w:rFonts w:ascii="Times New Roman" w:eastAsia="Times New Roman" w:hAnsi="Times New Roman" w:cs="Times New Roman"/>
          <w:lang w:val="uk-UA" w:eastAsia="ru-RU"/>
        </w:rPr>
        <w:t>sale.tbe-birzha.com.ua</w:t>
      </w:r>
      <w:r w:rsidRPr="00D63CDD">
        <w:rPr>
          <w:rFonts w:ascii="Times New Roman" w:hAnsi="Times New Roman" w:cs="Times New Roman"/>
          <w:lang w:val="uk-UA" w:eastAsia="ru-RU"/>
        </w:rPr>
        <w:t xml:space="preserve"> і діє до моменту відкликання Оферти Оператором.</w:t>
      </w:r>
    </w:p>
    <w:p w14:paraId="169C0CE3"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 xml:space="preserve">4.2. Оператор залишає за собою право вносити зміни в умови Оферти та/або відкликати Оферту в будь-який момент на власний розсуд. У разі внесення Оператором змін до Оферти, такі зміни вступають в силу з моменту розміщення зміненого тексту Оферти на електронному майданчику за вказаною в п.4.1 Договору </w:t>
      </w:r>
      <w:proofErr w:type="spellStart"/>
      <w:r w:rsidRPr="00D63CDD">
        <w:rPr>
          <w:rFonts w:ascii="Times New Roman" w:hAnsi="Times New Roman" w:cs="Times New Roman"/>
          <w:lang w:val="uk-UA" w:eastAsia="ru-RU"/>
        </w:rPr>
        <w:t>адресою</w:t>
      </w:r>
      <w:proofErr w:type="spellEnd"/>
      <w:r w:rsidRPr="00D63CDD">
        <w:rPr>
          <w:rFonts w:ascii="Times New Roman" w:hAnsi="Times New Roman" w:cs="Times New Roman"/>
          <w:lang w:val="uk-UA" w:eastAsia="ru-RU"/>
        </w:rPr>
        <w:t>, якщо інший строк набрання чинності змінами не визначений додатково при такому розміщенні.</w:t>
      </w:r>
    </w:p>
    <w:p w14:paraId="7BA71E0D"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5. Термін дії Договору та припинення Договору</w:t>
      </w:r>
    </w:p>
    <w:p w14:paraId="5538E4C3"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5.1. Акцепт Оферти Користувачем, здійснений відповідно до п.2.3. Оферти, зумовлює укладення Договору на умовах Оферти.</w:t>
      </w:r>
    </w:p>
    <w:p w14:paraId="02ACF96A"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5.2. Договір набирає чинності з моменту акцепту Оферти Користувачем і діє 1 (один) календарний рік, але у будь якому випадку до повного виконання Сторонами своїх зобов`язань за цим Договором. Якщо за 10 (десять) календарних днів до дати закінчення строку дії Договору жодна із Сторін не повідомила іншу про припинення даного Договору, то строк дії цього Договору вважається пролонгованим на кожний наступний рік.</w:t>
      </w:r>
    </w:p>
    <w:p w14:paraId="40E9128D"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5.3. Договір може бути припинений:</w:t>
      </w:r>
    </w:p>
    <w:p w14:paraId="48798A29"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5.3.1. У будь-який час за згодою Сторін;</w:t>
      </w:r>
    </w:p>
    <w:p w14:paraId="79B616B1"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5.3.2. За ініціативою однієї із Сторін в разі порушення іншою Стороною умов Договору з письмовим повідомленням іншої Сторони. У такому випадку Договір вважається розірваним з моменту отримання Стороною, яка порушила умови Договору, відповідного письмового повідомлення від іншої Сторони;</w:t>
      </w:r>
    </w:p>
    <w:p w14:paraId="59916F4C"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5.3.3. За ініціативою однієї із Сторін за умови письмового повідомлення іншої Сторони за 10 (десять) календарних днів до дати розірвання Договору;</w:t>
      </w:r>
    </w:p>
    <w:p w14:paraId="3B679F23"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5.3.4. З інших підстав, передбачених цією Офертою (Договором);</w:t>
      </w:r>
    </w:p>
    <w:p w14:paraId="1150C41B"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5.3.5. У разі розірвання Договору з ініціативи Оператора, крім випадків порушення Користувачем зобов`язань відповідно до п.2.2 цього Договору, Оператор повертає Користувачу вартість передплачених, але не наданих Послуг і порядку передбаченим п.3.7. Договору</w:t>
      </w:r>
    </w:p>
    <w:p w14:paraId="627FF0BC"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6. Відомості про конфіденційність та гарантії</w:t>
      </w:r>
    </w:p>
    <w:p w14:paraId="61434D96"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6.1. Вся інформація, якою Сторони обмінюються з метою виконання умов цього Договору, включаючи інформацію про технології та технічні рішення, використаних на Електронному майданчику, а також будь-яка комерційна інформація про умови співпраці Сторін, є конфіденційною, і не підлягає розголошенню та/або використанню без письмової згоди іншої сторони, за винятком випадків вимушеного розголошення на вимогу уповноважених державних органів. У разі вимушеного розголошення, Сторони зобов`язані негайно, але не пізніше, ніж протягом 3 (трьох) робочих днів з моменту вимушеного розголошення, письмово повідомити іншу Сторону про це.</w:t>
      </w:r>
    </w:p>
    <w:p w14:paraId="6E0465E8"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6.2. Оператор гарантує, що володіє всіма правами і повноваженнями, необхідними для укладення та виконання Договору.</w:t>
      </w:r>
    </w:p>
    <w:p w14:paraId="39C65D22"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6.3. Погоджуючись з умовами та приймаючи умови цієї Оферти шляхом її Акцепту, Користувач засвідчує і гарантує Оператор, що:</w:t>
      </w:r>
    </w:p>
    <w:p w14:paraId="4B88A882" w14:textId="2896F46E" w:rsidR="00386154" w:rsidRPr="00D63CDD" w:rsidRDefault="00386154" w:rsidP="00C5421E">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6.3.1. Користувач вказав достовірні дані (у тому числі персональні дані Користувача) при реєстрації на Електронному майданчику і при оформленні платіжних документів при оплаті Послуг</w:t>
      </w:r>
      <w:r w:rsidR="00C5421E">
        <w:rPr>
          <w:rFonts w:ascii="Times New Roman" w:hAnsi="Times New Roman" w:cs="Times New Roman"/>
          <w:lang w:val="uk-UA" w:eastAsia="ru-RU"/>
        </w:rPr>
        <w:t xml:space="preserve">. </w:t>
      </w:r>
      <w:r w:rsidRPr="00D63CDD">
        <w:rPr>
          <w:rFonts w:ascii="Times New Roman" w:hAnsi="Times New Roman" w:cs="Times New Roman"/>
          <w:lang w:val="uk-UA" w:eastAsia="ru-RU"/>
        </w:rPr>
        <w:t>Користувач укладає Договір добровільно, при цьому Користувач:</w:t>
      </w:r>
    </w:p>
    <w:p w14:paraId="71B0B90F" w14:textId="7277A96B" w:rsidR="00C5421E" w:rsidRDefault="00386154" w:rsidP="001F18A5">
      <w:pPr>
        <w:pStyle w:val="a6"/>
        <w:numPr>
          <w:ilvl w:val="0"/>
          <w:numId w:val="6"/>
        </w:numPr>
        <w:jc w:val="both"/>
        <w:rPr>
          <w:rFonts w:ascii="Times New Roman" w:hAnsi="Times New Roman" w:cs="Times New Roman"/>
          <w:lang w:val="uk-UA" w:eastAsia="ru-RU"/>
        </w:rPr>
      </w:pPr>
      <w:r w:rsidRPr="00D63CDD">
        <w:rPr>
          <w:rFonts w:ascii="Times New Roman" w:hAnsi="Times New Roman" w:cs="Times New Roman"/>
          <w:lang w:val="uk-UA" w:eastAsia="ru-RU"/>
        </w:rPr>
        <w:t>повністю ознайомився з умовами Оферти,</w:t>
      </w:r>
    </w:p>
    <w:p w14:paraId="4E86526A" w14:textId="3A79E771" w:rsidR="00386154" w:rsidRPr="00D63CDD" w:rsidRDefault="00386154" w:rsidP="001F18A5">
      <w:pPr>
        <w:pStyle w:val="a6"/>
        <w:numPr>
          <w:ilvl w:val="0"/>
          <w:numId w:val="6"/>
        </w:numPr>
        <w:jc w:val="both"/>
        <w:rPr>
          <w:rFonts w:ascii="Times New Roman" w:hAnsi="Times New Roman" w:cs="Times New Roman"/>
          <w:lang w:val="uk-UA" w:eastAsia="ru-RU"/>
        </w:rPr>
      </w:pPr>
      <w:r w:rsidRPr="00D63CDD">
        <w:rPr>
          <w:rFonts w:ascii="Times New Roman" w:hAnsi="Times New Roman" w:cs="Times New Roman"/>
          <w:lang w:val="uk-UA" w:eastAsia="ru-RU"/>
        </w:rPr>
        <w:t>повністю розуміє предмет Договору (Оферти);</w:t>
      </w:r>
    </w:p>
    <w:p w14:paraId="121486F3" w14:textId="77777777" w:rsidR="00386154" w:rsidRPr="00D63CDD" w:rsidRDefault="00386154" w:rsidP="001F18A5">
      <w:pPr>
        <w:pStyle w:val="a6"/>
        <w:numPr>
          <w:ilvl w:val="0"/>
          <w:numId w:val="6"/>
        </w:numPr>
        <w:jc w:val="both"/>
        <w:rPr>
          <w:rFonts w:ascii="Times New Roman" w:hAnsi="Times New Roman" w:cs="Times New Roman"/>
          <w:lang w:val="uk-UA" w:eastAsia="ru-RU"/>
        </w:rPr>
      </w:pPr>
      <w:r w:rsidRPr="00D63CDD">
        <w:rPr>
          <w:rFonts w:ascii="Times New Roman" w:hAnsi="Times New Roman" w:cs="Times New Roman"/>
          <w:lang w:val="uk-UA" w:eastAsia="ru-RU"/>
        </w:rPr>
        <w:t>ознайомлений і повністю погоджується із Регламентом ЕТС, який зазначений в п.2.2. Договору;</w:t>
      </w:r>
    </w:p>
    <w:p w14:paraId="1ABC0CE1"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6.4. Акцептувавши умови цієї Оферти, Користувач також погодився з тим, що в випадку використання електронного цифрового підпису в документо</w:t>
      </w:r>
      <w:r w:rsidR="0097089C" w:rsidRPr="00D63CDD">
        <w:rPr>
          <w:rFonts w:ascii="Times New Roman" w:hAnsi="Times New Roman" w:cs="Times New Roman"/>
          <w:lang w:val="uk-UA" w:eastAsia="ru-RU"/>
        </w:rPr>
        <w:t>обіг</w:t>
      </w:r>
      <w:r w:rsidRPr="00D63CDD">
        <w:rPr>
          <w:rFonts w:ascii="Times New Roman" w:hAnsi="Times New Roman" w:cs="Times New Roman"/>
          <w:lang w:val="uk-UA" w:eastAsia="ru-RU"/>
        </w:rPr>
        <w:t xml:space="preserve"> в межах виконання цієї Оферти, Сторонами погоджено використання такого електронного цифрового підпису в порядку і на умовах передбачених Законом України «Про електронний цифровий підпис». При цьому, Сторони </w:t>
      </w:r>
      <w:r w:rsidRPr="00D63CDD">
        <w:rPr>
          <w:rFonts w:ascii="Times New Roman" w:hAnsi="Times New Roman" w:cs="Times New Roman"/>
          <w:lang w:val="uk-UA" w:eastAsia="ru-RU"/>
        </w:rPr>
        <w:lastRenderedPageBreak/>
        <w:t>погодили, що в випадку використання електронного цифрового підпису, додаткове використання печатки (електронний печатки) для документів в межах виконання цієї Оферти не є потрібним.</w:t>
      </w:r>
    </w:p>
    <w:p w14:paraId="3B46E4F6"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7. Відповідальність і обмеження відповідальності</w:t>
      </w:r>
    </w:p>
    <w:p w14:paraId="29CA8750"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7.1. За порушення умов Оферти Сторони несуть відповідальність, встановлену Офертою та/або чинним законодавством України.</w:t>
      </w:r>
    </w:p>
    <w:p w14:paraId="59B5C8A6"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7.2. Користувач в повному обсязі несе відповідальність за:</w:t>
      </w:r>
    </w:p>
    <w:p w14:paraId="2DDF782D"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7.2.1. за зміст документів та інформації, що оприлюднюються під час процедури закупівлі. Оператор має право здійснювати контроль за інформацією, що розміщується Користувачем, та повідомляти Користувача, що розмістив інформацію неналежного змісту про такі випадки;</w:t>
      </w:r>
    </w:p>
    <w:p w14:paraId="71121117"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7.2.2. достовірність та повноту відомостей, зазначених Користувачем при реєстрації в якості користувача на Електронному майданчику і достовірність гарантій і засвідчень Користувача, що містяться у розділі 6 Оферти;</w:t>
      </w:r>
    </w:p>
    <w:p w14:paraId="5D2688C7"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7.2.3. свої дії, які вчиняються ним на Електронному майданчику під час процедури закупівлі, та дії осіб, які вчиняються від його імені з використанням його даних персональної ідентифікації;</w:t>
      </w:r>
    </w:p>
    <w:p w14:paraId="2A5A2A03"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7.2.4. розміщення на Електронному майданчику інформації шкідливого та образливого характеру та інформації, що не має відношення до проведення закупівлі.</w:t>
      </w:r>
    </w:p>
    <w:p w14:paraId="600A8842"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7.3. Беручи до уваги умови розділу 7 Оферти, Користувач зобов`язується своїми силами і за свій рахунок вирішувати спори і врегулювати претензії третіх осіб щодо розміщуваних матеріалів, або відшкодувати збитки (включаючи судові витрати), завдані Оператору Електронного майданчика в зв`язку з претензіями та позовами, підставою пред`явлення яких стало розміщення матеріалів Користувача.</w:t>
      </w:r>
    </w:p>
    <w:p w14:paraId="0F1A3DA5"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8. Порядок вирішення спорів</w:t>
      </w:r>
    </w:p>
    <w:p w14:paraId="7CBBAB78"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8.1. Всі спори та розбіжності, пов`язані з Офертою (Договором), Сторони вирішують шляхом переговорів.</w:t>
      </w:r>
    </w:p>
    <w:p w14:paraId="46AE1434"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8.2. Якщо відповідний спір не можливо вирішити шляхом переговорів, він вирішується в судовому порядку за встановленою підвідомчістю та підсудністю такого спору згідно чинного законодавства України.</w:t>
      </w:r>
    </w:p>
    <w:p w14:paraId="1F49E13D" w14:textId="77777777" w:rsidR="00386154" w:rsidRPr="00D63CDD" w:rsidRDefault="00386154" w:rsidP="00012AF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9. Форс-мажор</w:t>
      </w:r>
    </w:p>
    <w:p w14:paraId="11E4CCE7" w14:textId="2D8CA21D" w:rsidR="005F2A90" w:rsidRPr="00D63CDD" w:rsidRDefault="00386154" w:rsidP="005F2A9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9.1. Сторони звільняються від відповідальності за часткове, повне невиконання або неналежне виконання зобов`язань за цим Договором у разі, якщо невиконання або неналежне виконання зобов`язань є наслідком дії непереборної сили, тобто надзвичайних і невідворотних обставин, які Сторони не могли ні передбачити, ні запобігти їх настанню (обставини форс-мажору), а саме: пожежі, повені, землетрусу, страйку, масових безпорядків, заколоту, війни, або дій органів державної влади та інших обставин</w:t>
      </w:r>
      <w:r w:rsidR="005F2A90">
        <w:rPr>
          <w:rFonts w:ascii="Times New Roman" w:hAnsi="Times New Roman" w:cs="Times New Roman"/>
          <w:lang w:val="uk-UA" w:eastAsia="ru-RU"/>
        </w:rPr>
        <w:t>, тощо.</w:t>
      </w:r>
    </w:p>
    <w:p w14:paraId="38E1C627" w14:textId="628374BE" w:rsidR="00C822B6" w:rsidRDefault="00386154" w:rsidP="007D4D50">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9.2. У разі настання обставин форс-мажору підчас дії даного Договору, виконання зобов`язань за даним Договором відкладається на термін дії обставин форс-мажору.</w:t>
      </w:r>
    </w:p>
    <w:p w14:paraId="7CC28B0C" w14:textId="5D30EC30" w:rsidR="00D63CDD" w:rsidRDefault="00386154" w:rsidP="00D63CDD">
      <w:pPr>
        <w:pStyle w:val="a6"/>
        <w:ind w:firstLine="708"/>
        <w:jc w:val="both"/>
        <w:rPr>
          <w:rFonts w:ascii="Times New Roman" w:hAnsi="Times New Roman" w:cs="Times New Roman"/>
          <w:lang w:val="uk-UA" w:eastAsia="ru-RU"/>
        </w:rPr>
      </w:pPr>
      <w:r w:rsidRPr="00D63CDD">
        <w:rPr>
          <w:rFonts w:ascii="Times New Roman" w:hAnsi="Times New Roman" w:cs="Times New Roman"/>
          <w:lang w:val="uk-UA" w:eastAsia="ru-RU"/>
        </w:rPr>
        <w:t>9.3. Сторона, що не може виконати зобов`язання за Договором, повинна негайно, але не пізніше ніж через 3 (три) календарні дні після настання обставин форс-мажору, письмово повідомити про це іншу Сторону. Настання обставин форс-мажору, повинно бути підтверджено довідкою відповідного компетентного органу.</w:t>
      </w:r>
    </w:p>
    <w:p w14:paraId="102DABD1" w14:textId="77777777" w:rsidR="007D4D50" w:rsidRPr="00D63CDD" w:rsidRDefault="007D4D50" w:rsidP="00D63CDD">
      <w:pPr>
        <w:pStyle w:val="a6"/>
        <w:ind w:firstLine="708"/>
        <w:jc w:val="both"/>
        <w:rPr>
          <w:rFonts w:ascii="Times New Roman" w:hAnsi="Times New Roman" w:cs="Times New Roman"/>
          <w:lang w:val="uk-UA" w:eastAsia="ru-RU"/>
        </w:rPr>
      </w:pPr>
    </w:p>
    <w:p w14:paraId="619C3BA1" w14:textId="77777777" w:rsidR="00C5421E" w:rsidRDefault="00C5421E" w:rsidP="00C5421E">
      <w:pPr>
        <w:pStyle w:val="a6"/>
        <w:rPr>
          <w:rFonts w:ascii="Times New Roman" w:hAnsi="Times New Roman" w:cs="Times New Roman"/>
          <w:b/>
          <w:lang w:val="uk-UA" w:eastAsia="ru-RU"/>
        </w:rPr>
      </w:pPr>
    </w:p>
    <w:p w14:paraId="6C20055F" w14:textId="77777777" w:rsidR="00386154" w:rsidRPr="00BF2F59" w:rsidRDefault="00386154" w:rsidP="00BF2F59">
      <w:pPr>
        <w:pStyle w:val="a6"/>
        <w:jc w:val="center"/>
        <w:rPr>
          <w:rFonts w:ascii="Times New Roman" w:hAnsi="Times New Roman" w:cs="Times New Roman"/>
          <w:b/>
          <w:lang w:val="uk-UA" w:eastAsia="ru-RU"/>
        </w:rPr>
      </w:pPr>
      <w:r w:rsidRPr="00BF2F59">
        <w:rPr>
          <w:rFonts w:ascii="Times New Roman" w:hAnsi="Times New Roman" w:cs="Times New Roman"/>
          <w:b/>
          <w:lang w:val="uk-UA" w:eastAsia="ru-RU"/>
        </w:rPr>
        <w:t>10. Реквізити сторін</w:t>
      </w:r>
    </w:p>
    <w:tbl>
      <w:tblPr>
        <w:tblW w:w="4963" w:type="pct"/>
        <w:tblCellSpacing w:w="15" w:type="dxa"/>
        <w:tblCellMar>
          <w:top w:w="15" w:type="dxa"/>
          <w:left w:w="15" w:type="dxa"/>
          <w:bottom w:w="15" w:type="dxa"/>
          <w:right w:w="15" w:type="dxa"/>
        </w:tblCellMar>
        <w:tblLook w:val="04A0" w:firstRow="1" w:lastRow="0" w:firstColumn="1" w:lastColumn="0" w:noHBand="0" w:noVBand="1"/>
      </w:tblPr>
      <w:tblGrid>
        <w:gridCol w:w="4577"/>
        <w:gridCol w:w="4709"/>
      </w:tblGrid>
      <w:tr w:rsidR="002C2A2E" w:rsidRPr="000610F2" w14:paraId="4A0928E5" w14:textId="77777777" w:rsidTr="002C2A2E">
        <w:trPr>
          <w:tblCellSpacing w:w="15" w:type="dxa"/>
        </w:trPr>
        <w:tc>
          <w:tcPr>
            <w:tcW w:w="2440" w:type="pct"/>
            <w:vAlign w:val="center"/>
          </w:tcPr>
          <w:p w14:paraId="237AF344" w14:textId="77777777" w:rsidR="002C2A2E" w:rsidRPr="000610F2" w:rsidRDefault="002C2A2E" w:rsidP="000610F2">
            <w:pPr>
              <w:pStyle w:val="a6"/>
              <w:rPr>
                <w:rFonts w:ascii="Times New Roman" w:hAnsi="Times New Roman" w:cs="Times New Roman"/>
                <w:lang w:val="uk-UA" w:eastAsia="ru-RU"/>
              </w:rPr>
            </w:pPr>
            <w:r w:rsidRPr="000610F2">
              <w:rPr>
                <w:rFonts w:ascii="Times New Roman" w:hAnsi="Times New Roman" w:cs="Times New Roman"/>
                <w:lang w:val="uk-UA" w:eastAsia="ru-RU"/>
              </w:rPr>
              <w:t>Оператор</w:t>
            </w:r>
          </w:p>
        </w:tc>
        <w:tc>
          <w:tcPr>
            <w:tcW w:w="2512" w:type="pct"/>
            <w:vAlign w:val="center"/>
          </w:tcPr>
          <w:p w14:paraId="3ED344F4" w14:textId="77777777" w:rsidR="002C2A2E" w:rsidRPr="000610F2" w:rsidRDefault="002C2A2E" w:rsidP="000610F2">
            <w:pPr>
              <w:pStyle w:val="a6"/>
              <w:rPr>
                <w:rFonts w:ascii="Times New Roman" w:hAnsi="Times New Roman" w:cs="Times New Roman"/>
                <w:lang w:val="uk-UA" w:eastAsia="ru-RU"/>
              </w:rPr>
            </w:pPr>
            <w:r w:rsidRPr="000610F2">
              <w:rPr>
                <w:rFonts w:ascii="Times New Roman" w:hAnsi="Times New Roman" w:cs="Times New Roman"/>
                <w:lang w:val="uk-UA" w:eastAsia="ru-RU"/>
              </w:rPr>
              <w:t>Користувач</w:t>
            </w:r>
          </w:p>
        </w:tc>
      </w:tr>
      <w:tr w:rsidR="002C2A2E" w:rsidRPr="000610F2" w14:paraId="177EE89F" w14:textId="77777777" w:rsidTr="002C2A2E">
        <w:trPr>
          <w:tblCellSpacing w:w="15" w:type="dxa"/>
        </w:trPr>
        <w:tc>
          <w:tcPr>
            <w:tcW w:w="2440" w:type="pct"/>
            <w:vAlign w:val="center"/>
          </w:tcPr>
          <w:p w14:paraId="0017FFF1" w14:textId="2E9368AB" w:rsidR="00CE67AA" w:rsidRDefault="005B72E6" w:rsidP="00724C8D">
            <w:pPr>
              <w:pStyle w:val="a6"/>
              <w:rPr>
                <w:rFonts w:ascii="Times New Roman" w:hAnsi="Times New Roman" w:cs="Times New Roman"/>
                <w:lang w:val="uk-UA" w:eastAsia="ru-RU"/>
              </w:rPr>
            </w:pPr>
            <w:r w:rsidRPr="00724C8D">
              <w:rPr>
                <w:rFonts w:ascii="Times New Roman" w:hAnsi="Times New Roman" w:cs="Times New Roman"/>
                <w:b/>
                <w:lang w:val="uk-UA" w:eastAsia="ru-RU"/>
              </w:rPr>
              <w:t>ТОВ</w:t>
            </w:r>
            <w:r w:rsidR="005E0ABA" w:rsidRPr="00724C8D">
              <w:rPr>
                <w:rFonts w:ascii="Times New Roman" w:hAnsi="Times New Roman" w:cs="Times New Roman"/>
                <w:b/>
                <w:lang w:val="uk-UA" w:eastAsia="ru-RU"/>
              </w:rPr>
              <w:t xml:space="preserve"> «</w:t>
            </w:r>
            <w:r w:rsidR="00F25F19">
              <w:rPr>
                <w:rFonts w:ascii="Times New Roman" w:hAnsi="Times New Roman" w:cs="Times New Roman"/>
                <w:b/>
                <w:lang w:val="uk-UA" w:eastAsia="ru-RU"/>
              </w:rPr>
              <w:t>ЄВРОПЕЙСЬКА</w:t>
            </w:r>
            <w:r w:rsidR="005E0ABA" w:rsidRPr="00724C8D">
              <w:rPr>
                <w:rFonts w:ascii="Times New Roman" w:hAnsi="Times New Roman" w:cs="Times New Roman"/>
                <w:b/>
                <w:lang w:val="uk-UA" w:eastAsia="ru-RU"/>
              </w:rPr>
              <w:t>»</w:t>
            </w:r>
            <w:r w:rsidR="002C2A2E" w:rsidRPr="000610F2">
              <w:rPr>
                <w:rFonts w:ascii="Times New Roman" w:hAnsi="Times New Roman" w:cs="Times New Roman"/>
                <w:lang w:val="uk-UA" w:eastAsia="ru-RU"/>
              </w:rPr>
              <w:br/>
            </w:r>
            <w:r w:rsidR="00724C8D">
              <w:rPr>
                <w:rFonts w:ascii="Times New Roman" w:hAnsi="Times New Roman" w:cs="Times New Roman"/>
                <w:lang w:val="uk-UA" w:eastAsia="ru-RU"/>
              </w:rPr>
              <w:t>51925</w:t>
            </w:r>
            <w:r w:rsidR="00E77B7A" w:rsidRPr="00E77B7A">
              <w:rPr>
                <w:rFonts w:ascii="Times New Roman" w:hAnsi="Times New Roman" w:cs="Times New Roman"/>
                <w:lang w:val="uk-UA" w:eastAsia="ru-RU"/>
              </w:rPr>
              <w:t>,</w:t>
            </w:r>
            <w:r w:rsidR="00724C8D">
              <w:rPr>
                <w:rFonts w:ascii="Times New Roman" w:hAnsi="Times New Roman" w:cs="Times New Roman"/>
                <w:lang w:val="uk-UA" w:eastAsia="ru-RU"/>
              </w:rPr>
              <w:t xml:space="preserve"> Дніпропетровська обл.,</w:t>
            </w:r>
            <w:r w:rsidR="00E77B7A" w:rsidRPr="00E77B7A">
              <w:rPr>
                <w:rFonts w:ascii="Times New Roman" w:hAnsi="Times New Roman" w:cs="Times New Roman"/>
                <w:lang w:val="uk-UA" w:eastAsia="ru-RU"/>
              </w:rPr>
              <w:t xml:space="preserve"> </w:t>
            </w:r>
            <w:r w:rsidR="00724C8D" w:rsidRPr="00677BE2">
              <w:rPr>
                <w:rFonts w:ascii="Times New Roman" w:eastAsia="Times New Roman" w:hAnsi="Times New Roman" w:cs="Times New Roman"/>
                <w:color w:val="000000"/>
                <w:sz w:val="24"/>
                <w:szCs w:val="24"/>
                <w:lang w:eastAsia="ru-RU"/>
              </w:rPr>
              <w:t>м.</w:t>
            </w:r>
            <w:r w:rsidR="00724C8D">
              <w:rPr>
                <w:rFonts w:ascii="Times New Roman" w:eastAsia="Times New Roman" w:hAnsi="Times New Roman" w:cs="Times New Roman"/>
                <w:color w:val="000000"/>
                <w:sz w:val="24"/>
                <w:szCs w:val="24"/>
                <w:lang w:val="uk-UA" w:eastAsia="ru-RU"/>
              </w:rPr>
              <w:t xml:space="preserve"> </w:t>
            </w:r>
            <w:proofErr w:type="spellStart"/>
            <w:r w:rsidR="00724C8D" w:rsidRPr="00677BE2">
              <w:rPr>
                <w:rFonts w:ascii="Times New Roman" w:eastAsia="Times New Roman" w:hAnsi="Times New Roman" w:cs="Times New Roman"/>
                <w:color w:val="000000"/>
                <w:sz w:val="24"/>
                <w:szCs w:val="24"/>
                <w:lang w:eastAsia="ru-RU"/>
              </w:rPr>
              <w:t>Кам'янське</w:t>
            </w:r>
            <w:proofErr w:type="spellEnd"/>
            <w:r w:rsidR="00724C8D" w:rsidRPr="00677BE2">
              <w:rPr>
                <w:rFonts w:ascii="Times New Roman" w:eastAsia="Times New Roman" w:hAnsi="Times New Roman" w:cs="Times New Roman"/>
                <w:color w:val="000000"/>
                <w:sz w:val="24"/>
                <w:szCs w:val="24"/>
                <w:lang w:eastAsia="ru-RU"/>
              </w:rPr>
              <w:t xml:space="preserve">, проспект </w:t>
            </w:r>
            <w:proofErr w:type="spellStart"/>
            <w:r w:rsidR="00724C8D" w:rsidRPr="00677BE2">
              <w:rPr>
                <w:rFonts w:ascii="Times New Roman" w:eastAsia="Times New Roman" w:hAnsi="Times New Roman" w:cs="Times New Roman"/>
                <w:color w:val="000000"/>
                <w:sz w:val="24"/>
                <w:szCs w:val="24"/>
                <w:lang w:eastAsia="ru-RU"/>
              </w:rPr>
              <w:t>Гімназичний</w:t>
            </w:r>
            <w:proofErr w:type="spellEnd"/>
            <w:r w:rsidR="00724C8D" w:rsidRPr="00677BE2">
              <w:rPr>
                <w:rFonts w:ascii="Times New Roman" w:eastAsia="Times New Roman" w:hAnsi="Times New Roman" w:cs="Times New Roman"/>
                <w:color w:val="000000"/>
                <w:sz w:val="24"/>
                <w:szCs w:val="24"/>
                <w:lang w:eastAsia="ru-RU"/>
              </w:rPr>
              <w:t>, буд. 11Б</w:t>
            </w:r>
          </w:p>
          <w:p w14:paraId="15FB7831" w14:textId="11C2FAB0" w:rsidR="00565D15" w:rsidRPr="000610F2" w:rsidRDefault="002C2A2E" w:rsidP="000610F2">
            <w:pPr>
              <w:pStyle w:val="a6"/>
              <w:rPr>
                <w:rFonts w:ascii="Times New Roman" w:hAnsi="Times New Roman" w:cs="Times New Roman"/>
                <w:lang w:val="uk-UA" w:eastAsia="ru-RU"/>
              </w:rPr>
            </w:pPr>
            <w:r w:rsidRPr="000610F2">
              <w:rPr>
                <w:rFonts w:ascii="Times New Roman" w:hAnsi="Times New Roman" w:cs="Times New Roman"/>
                <w:lang w:val="uk-UA" w:eastAsia="ru-RU"/>
              </w:rPr>
              <w:t xml:space="preserve">ЄДРПОУ </w:t>
            </w:r>
            <w:r w:rsidR="00D83057" w:rsidRPr="000610F2">
              <w:rPr>
                <w:rFonts w:ascii="Times New Roman" w:hAnsi="Times New Roman" w:cs="Times New Roman"/>
                <w:lang w:val="uk-UA" w:eastAsia="ru-RU"/>
              </w:rPr>
              <w:t>35281862</w:t>
            </w:r>
          </w:p>
          <w:p w14:paraId="6B3E9E67" w14:textId="019DDA59" w:rsidR="00FA2A7F" w:rsidRDefault="00D83057" w:rsidP="000610F2">
            <w:pPr>
              <w:pStyle w:val="a6"/>
              <w:rPr>
                <w:rFonts w:ascii="Times New Roman" w:hAnsi="Times New Roman" w:cs="Times New Roman"/>
                <w:lang w:val="uk-UA" w:eastAsia="ru-RU"/>
              </w:rPr>
            </w:pPr>
            <w:r w:rsidRPr="000610F2">
              <w:rPr>
                <w:rFonts w:ascii="Times New Roman" w:hAnsi="Times New Roman" w:cs="Times New Roman"/>
                <w:lang w:val="uk-UA" w:eastAsia="ru-RU"/>
              </w:rPr>
              <w:t xml:space="preserve">р/р </w:t>
            </w:r>
            <w:r w:rsidR="006B75F2" w:rsidRPr="006B75F2">
              <w:rPr>
                <w:rFonts w:ascii="Times New Roman" w:hAnsi="Times New Roman" w:cs="Times New Roman"/>
                <w:lang w:val="uk-UA" w:eastAsia="ru-RU"/>
              </w:rPr>
              <w:t>UA</w:t>
            </w:r>
            <w:r w:rsidR="005A5D27" w:rsidRPr="005A5D27">
              <w:rPr>
                <w:rFonts w:ascii="Times New Roman" w:hAnsi="Times New Roman" w:cs="Times New Roman"/>
                <w:lang w:val="uk-UA" w:eastAsia="ru-RU"/>
              </w:rPr>
              <w:t>753348510000000026009206683</w:t>
            </w:r>
            <w:r w:rsidR="00825FA2" w:rsidRPr="00825FA2">
              <w:rPr>
                <w:rFonts w:ascii="Times New Roman" w:hAnsi="Times New Roman" w:cs="Times New Roman"/>
                <w:lang w:val="uk-UA" w:eastAsia="ru-RU"/>
              </w:rPr>
              <w:t xml:space="preserve"> </w:t>
            </w:r>
          </w:p>
          <w:p w14:paraId="21C98619" w14:textId="77777777" w:rsidR="005A5D27" w:rsidRPr="00724C8D" w:rsidRDefault="00755101" w:rsidP="000610F2">
            <w:pPr>
              <w:pStyle w:val="a6"/>
              <w:rPr>
                <w:spacing w:val="-4"/>
                <w:lang w:val="uk-UA"/>
              </w:rPr>
            </w:pPr>
            <w:r>
              <w:rPr>
                <w:rFonts w:ascii="Times New Roman" w:hAnsi="Times New Roman" w:cs="Times New Roman"/>
                <w:lang w:val="uk-UA" w:eastAsia="ru-RU"/>
              </w:rPr>
              <w:t xml:space="preserve">в </w:t>
            </w:r>
            <w:r w:rsidR="005A5D27" w:rsidRPr="005A5D27">
              <w:rPr>
                <w:rFonts w:ascii="Times New Roman" w:hAnsi="Times New Roman" w:cs="Times New Roman"/>
                <w:lang w:val="uk-UA" w:eastAsia="ru-RU"/>
              </w:rPr>
              <w:t>АТ «ПУМБ»</w:t>
            </w:r>
            <w:r w:rsidR="005A5D27" w:rsidRPr="00724C8D">
              <w:rPr>
                <w:spacing w:val="-4"/>
                <w:lang w:val="uk-UA"/>
              </w:rPr>
              <w:t xml:space="preserve"> </w:t>
            </w:r>
          </w:p>
          <w:p w14:paraId="7DA647CC" w14:textId="463BE3E7" w:rsidR="00D83057" w:rsidRPr="000610F2" w:rsidRDefault="006B75F2" w:rsidP="000610F2">
            <w:pPr>
              <w:pStyle w:val="a6"/>
              <w:rPr>
                <w:rFonts w:ascii="Times New Roman" w:hAnsi="Times New Roman" w:cs="Times New Roman"/>
                <w:lang w:val="uk-UA" w:eastAsia="ru-RU"/>
              </w:rPr>
            </w:pPr>
            <w:r>
              <w:rPr>
                <w:rFonts w:ascii="Times New Roman" w:hAnsi="Times New Roman" w:cs="Times New Roman"/>
                <w:lang w:val="uk-UA" w:eastAsia="ru-RU"/>
              </w:rPr>
              <w:t xml:space="preserve">код МФО </w:t>
            </w:r>
            <w:r w:rsidR="005A5D27" w:rsidRPr="005A5D27">
              <w:rPr>
                <w:rFonts w:ascii="Times New Roman" w:hAnsi="Times New Roman" w:cs="Times New Roman"/>
                <w:lang w:val="uk-UA" w:eastAsia="ru-RU"/>
              </w:rPr>
              <w:t>334851</w:t>
            </w:r>
          </w:p>
          <w:p w14:paraId="6F1D66AD" w14:textId="70BBF3A7" w:rsidR="004107F0" w:rsidRDefault="00D91BB2" w:rsidP="000610F2">
            <w:pPr>
              <w:pStyle w:val="a6"/>
              <w:rPr>
                <w:rFonts w:ascii="Times New Roman" w:hAnsi="Times New Roman" w:cs="Times New Roman"/>
                <w:lang w:val="uk-UA" w:eastAsia="ru-RU"/>
              </w:rPr>
            </w:pPr>
            <w:proofErr w:type="spellStart"/>
            <w:r>
              <w:rPr>
                <w:rFonts w:ascii="Times New Roman" w:hAnsi="Times New Roman" w:cs="Times New Roman"/>
                <w:lang w:val="uk-UA" w:eastAsia="ru-RU"/>
              </w:rPr>
              <w:t>Тел</w:t>
            </w:r>
            <w:proofErr w:type="spellEnd"/>
            <w:r>
              <w:rPr>
                <w:rFonts w:ascii="Times New Roman" w:hAnsi="Times New Roman" w:cs="Times New Roman"/>
                <w:lang w:val="uk-UA" w:eastAsia="ru-RU"/>
              </w:rPr>
              <w:t>. 0679064798</w:t>
            </w:r>
          </w:p>
          <w:p w14:paraId="55F8E791" w14:textId="77777777" w:rsidR="00D91BB2" w:rsidRPr="00724C8D" w:rsidRDefault="00D91BB2" w:rsidP="000610F2">
            <w:pPr>
              <w:pStyle w:val="a6"/>
              <w:rPr>
                <w:rFonts w:ascii="Times New Roman" w:hAnsi="Times New Roman" w:cs="Times New Roman"/>
                <w:lang w:val="uk-UA" w:eastAsia="ru-RU"/>
              </w:rPr>
            </w:pPr>
            <w:r>
              <w:rPr>
                <w:rFonts w:ascii="Times New Roman" w:hAnsi="Times New Roman" w:cs="Times New Roman"/>
                <w:lang w:val="uk-UA" w:eastAsia="ru-RU"/>
              </w:rPr>
              <w:t xml:space="preserve">Е </w:t>
            </w:r>
            <w:proofErr w:type="spellStart"/>
            <w:r>
              <w:rPr>
                <w:rFonts w:ascii="Times New Roman" w:hAnsi="Times New Roman" w:cs="Times New Roman"/>
                <w:lang w:val="uk-UA" w:eastAsia="ru-RU"/>
              </w:rPr>
              <w:t>мейл</w:t>
            </w:r>
            <w:proofErr w:type="spellEnd"/>
            <w:r>
              <w:rPr>
                <w:rFonts w:ascii="Times New Roman" w:hAnsi="Times New Roman" w:cs="Times New Roman"/>
                <w:lang w:val="uk-UA" w:eastAsia="ru-RU"/>
              </w:rPr>
              <w:t xml:space="preserve">: </w:t>
            </w:r>
            <w:proofErr w:type="spellStart"/>
            <w:r>
              <w:rPr>
                <w:rFonts w:ascii="Times New Roman" w:hAnsi="Times New Roman" w:cs="Times New Roman"/>
                <w:lang w:val="en-US" w:eastAsia="ru-RU"/>
              </w:rPr>
              <w:t>europaua</w:t>
            </w:r>
            <w:proofErr w:type="spellEnd"/>
            <w:r w:rsidRPr="00724C8D">
              <w:rPr>
                <w:rFonts w:ascii="Times New Roman" w:hAnsi="Times New Roman" w:cs="Times New Roman"/>
                <w:lang w:val="uk-UA" w:eastAsia="ru-RU"/>
              </w:rPr>
              <w:t>2007@</w:t>
            </w:r>
            <w:proofErr w:type="spellStart"/>
            <w:r>
              <w:rPr>
                <w:rFonts w:ascii="Times New Roman" w:hAnsi="Times New Roman" w:cs="Times New Roman"/>
                <w:lang w:val="en-US" w:eastAsia="ru-RU"/>
              </w:rPr>
              <w:t>gmail</w:t>
            </w:r>
            <w:proofErr w:type="spellEnd"/>
            <w:r w:rsidRPr="00724C8D">
              <w:rPr>
                <w:rFonts w:ascii="Times New Roman" w:hAnsi="Times New Roman" w:cs="Times New Roman"/>
                <w:lang w:val="uk-UA" w:eastAsia="ru-RU"/>
              </w:rPr>
              <w:t>.</w:t>
            </w:r>
            <w:r>
              <w:rPr>
                <w:rFonts w:ascii="Times New Roman" w:hAnsi="Times New Roman" w:cs="Times New Roman"/>
                <w:lang w:val="en-US" w:eastAsia="ru-RU"/>
              </w:rPr>
              <w:t>com</w:t>
            </w:r>
          </w:p>
          <w:p w14:paraId="48D89518" w14:textId="77777777" w:rsidR="001B07A2" w:rsidRDefault="001B07A2" w:rsidP="000610F2">
            <w:pPr>
              <w:pStyle w:val="a6"/>
              <w:rPr>
                <w:rFonts w:ascii="Times New Roman" w:hAnsi="Times New Roman" w:cs="Times New Roman"/>
                <w:lang w:val="uk-UA" w:eastAsia="ru-RU"/>
              </w:rPr>
            </w:pPr>
          </w:p>
          <w:p w14:paraId="37DC9761" w14:textId="77777777" w:rsidR="001B07A2" w:rsidRPr="000610F2" w:rsidRDefault="001B07A2" w:rsidP="000610F2">
            <w:pPr>
              <w:pStyle w:val="a6"/>
              <w:rPr>
                <w:rFonts w:ascii="Times New Roman" w:hAnsi="Times New Roman" w:cs="Times New Roman"/>
                <w:lang w:val="uk-UA" w:eastAsia="ru-RU"/>
              </w:rPr>
            </w:pPr>
          </w:p>
          <w:p w14:paraId="24A84007" w14:textId="5DA79913" w:rsidR="002C2A2E" w:rsidRPr="000610F2" w:rsidRDefault="009E0FC8" w:rsidP="000610F2">
            <w:pPr>
              <w:pStyle w:val="a6"/>
              <w:rPr>
                <w:rFonts w:ascii="Times New Roman" w:hAnsi="Times New Roman" w:cs="Times New Roman"/>
                <w:lang w:val="uk-UA" w:eastAsia="ru-RU"/>
              </w:rPr>
            </w:pPr>
            <w:r w:rsidRPr="000610F2">
              <w:rPr>
                <w:rFonts w:ascii="Times New Roman" w:hAnsi="Times New Roman" w:cs="Times New Roman"/>
                <w:lang w:val="uk-UA" w:eastAsia="ru-RU"/>
              </w:rPr>
              <w:t>Директор</w:t>
            </w:r>
            <w:r w:rsidR="001B07A2">
              <w:rPr>
                <w:rFonts w:ascii="Times New Roman" w:hAnsi="Times New Roman" w:cs="Times New Roman"/>
                <w:lang w:val="uk-UA" w:eastAsia="ru-RU"/>
              </w:rPr>
              <w:t>___________</w:t>
            </w:r>
            <w:r w:rsidR="002C2A2E" w:rsidRPr="000610F2">
              <w:rPr>
                <w:rFonts w:ascii="Times New Roman" w:hAnsi="Times New Roman" w:cs="Times New Roman"/>
                <w:lang w:val="uk-UA" w:eastAsia="ru-RU"/>
              </w:rPr>
              <w:t xml:space="preserve">_ </w:t>
            </w:r>
            <w:r w:rsidR="0085436D">
              <w:rPr>
                <w:rFonts w:ascii="Times New Roman" w:hAnsi="Times New Roman" w:cs="Times New Roman"/>
                <w:lang w:val="uk-UA" w:eastAsia="ru-RU"/>
              </w:rPr>
              <w:t>А.В. Токарєва</w:t>
            </w:r>
          </w:p>
        </w:tc>
        <w:tc>
          <w:tcPr>
            <w:tcW w:w="2512" w:type="pct"/>
            <w:vAlign w:val="center"/>
          </w:tcPr>
          <w:p w14:paraId="65AD1393" w14:textId="77777777" w:rsidR="002C2A2E" w:rsidRPr="000610F2" w:rsidRDefault="002C2A2E" w:rsidP="000610F2">
            <w:pPr>
              <w:pStyle w:val="a6"/>
              <w:rPr>
                <w:rFonts w:ascii="Times New Roman" w:hAnsi="Times New Roman" w:cs="Times New Roman"/>
                <w:lang w:val="uk-UA" w:eastAsia="ru-RU"/>
              </w:rPr>
            </w:pPr>
            <w:r w:rsidRPr="000610F2">
              <w:rPr>
                <w:rFonts w:ascii="Times New Roman" w:hAnsi="Times New Roman" w:cs="Times New Roman"/>
                <w:lang w:val="uk-UA" w:eastAsia="ru-RU"/>
              </w:rPr>
              <w:t>_______________________________________</w:t>
            </w:r>
            <w:r w:rsidRPr="000610F2">
              <w:rPr>
                <w:rFonts w:ascii="Times New Roman" w:hAnsi="Times New Roman" w:cs="Times New Roman"/>
                <w:lang w:val="uk-UA" w:eastAsia="ru-RU"/>
              </w:rPr>
              <w:br/>
              <w:t>_______________________________________</w:t>
            </w:r>
            <w:r w:rsidRPr="000610F2">
              <w:rPr>
                <w:rFonts w:ascii="Times New Roman" w:hAnsi="Times New Roman" w:cs="Times New Roman"/>
                <w:lang w:val="uk-UA" w:eastAsia="ru-RU"/>
              </w:rPr>
              <w:br/>
              <w:t>_______________________________________</w:t>
            </w:r>
            <w:r w:rsidRPr="000610F2">
              <w:rPr>
                <w:rFonts w:ascii="Times New Roman" w:hAnsi="Times New Roman" w:cs="Times New Roman"/>
                <w:lang w:val="uk-UA" w:eastAsia="ru-RU"/>
              </w:rPr>
              <w:br/>
              <w:t>_______________________________________</w:t>
            </w:r>
            <w:r w:rsidRPr="000610F2">
              <w:rPr>
                <w:rFonts w:ascii="Times New Roman" w:hAnsi="Times New Roman" w:cs="Times New Roman"/>
                <w:lang w:val="uk-UA" w:eastAsia="ru-RU"/>
              </w:rPr>
              <w:br/>
              <w:t>_______________________________________</w:t>
            </w:r>
            <w:r w:rsidRPr="000610F2">
              <w:rPr>
                <w:rFonts w:ascii="Times New Roman" w:hAnsi="Times New Roman" w:cs="Times New Roman"/>
                <w:lang w:val="uk-UA" w:eastAsia="ru-RU"/>
              </w:rPr>
              <w:br/>
              <w:t>_______________________________________</w:t>
            </w:r>
            <w:r w:rsidRPr="000610F2">
              <w:rPr>
                <w:rFonts w:ascii="Times New Roman" w:hAnsi="Times New Roman" w:cs="Times New Roman"/>
                <w:lang w:val="uk-UA" w:eastAsia="ru-RU"/>
              </w:rPr>
              <w:br/>
              <w:t>_______________________________________</w:t>
            </w:r>
          </w:p>
          <w:p w14:paraId="3BD4CFBC" w14:textId="77777777" w:rsidR="004107F0" w:rsidRPr="000610F2" w:rsidRDefault="002C2A2E" w:rsidP="000610F2">
            <w:pPr>
              <w:pStyle w:val="a6"/>
              <w:rPr>
                <w:rFonts w:ascii="Times New Roman" w:hAnsi="Times New Roman" w:cs="Times New Roman"/>
                <w:lang w:val="uk-UA" w:eastAsia="ru-RU"/>
              </w:rPr>
            </w:pPr>
            <w:r w:rsidRPr="000610F2">
              <w:rPr>
                <w:rFonts w:ascii="Times New Roman" w:hAnsi="Times New Roman" w:cs="Times New Roman"/>
                <w:lang w:val="uk-UA" w:eastAsia="ru-RU"/>
              </w:rPr>
              <w:t>_______________________________________</w:t>
            </w:r>
            <w:r w:rsidRPr="000610F2">
              <w:rPr>
                <w:rFonts w:ascii="Times New Roman" w:hAnsi="Times New Roman" w:cs="Times New Roman"/>
                <w:lang w:val="uk-UA" w:eastAsia="ru-RU"/>
              </w:rPr>
              <w:br/>
            </w:r>
            <w:r w:rsidRPr="000610F2">
              <w:rPr>
                <w:rFonts w:ascii="Times New Roman" w:hAnsi="Times New Roman" w:cs="Times New Roman"/>
                <w:lang w:val="uk-UA" w:eastAsia="ru-RU"/>
              </w:rPr>
              <w:br/>
            </w:r>
          </w:p>
          <w:p w14:paraId="6E323743" w14:textId="77777777" w:rsidR="002C2A2E" w:rsidRPr="000610F2" w:rsidRDefault="002C2A2E" w:rsidP="000610F2">
            <w:pPr>
              <w:pStyle w:val="a6"/>
              <w:rPr>
                <w:rFonts w:ascii="Times New Roman" w:hAnsi="Times New Roman" w:cs="Times New Roman"/>
                <w:lang w:val="uk-UA" w:eastAsia="ru-RU"/>
              </w:rPr>
            </w:pPr>
            <w:r w:rsidRPr="000610F2">
              <w:rPr>
                <w:rFonts w:ascii="Times New Roman" w:hAnsi="Times New Roman" w:cs="Times New Roman"/>
                <w:lang w:val="uk-UA" w:eastAsia="ru-RU"/>
              </w:rPr>
              <w:t xml:space="preserve">_______________________ _______________ </w:t>
            </w:r>
          </w:p>
        </w:tc>
      </w:tr>
    </w:tbl>
    <w:p w14:paraId="7AAEE929" w14:textId="77777777" w:rsidR="007A1A55" w:rsidRPr="000610F2" w:rsidRDefault="007A1A55" w:rsidP="000610F2">
      <w:pPr>
        <w:pStyle w:val="a6"/>
        <w:rPr>
          <w:rFonts w:ascii="Times New Roman" w:hAnsi="Times New Roman" w:cs="Times New Roman"/>
        </w:rPr>
      </w:pPr>
    </w:p>
    <w:sectPr w:rsidR="007A1A55" w:rsidRPr="000610F2" w:rsidSect="000E018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tiqua">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204A7D"/>
    <w:multiLevelType w:val="hybridMultilevel"/>
    <w:tmpl w:val="C594410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CB66E02"/>
    <w:multiLevelType w:val="multilevel"/>
    <w:tmpl w:val="0A8C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A648A"/>
    <w:multiLevelType w:val="multilevel"/>
    <w:tmpl w:val="A0FC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56B73"/>
    <w:multiLevelType w:val="hybridMultilevel"/>
    <w:tmpl w:val="EE0E557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A526082"/>
    <w:multiLevelType w:val="multilevel"/>
    <w:tmpl w:val="BC48BCE0"/>
    <w:lvl w:ilvl="0">
      <w:start w:val="3"/>
      <w:numFmt w:val="decimal"/>
      <w:lvlText w:val="%1"/>
      <w:lvlJc w:val="left"/>
      <w:pPr>
        <w:ind w:left="262" w:hanging="459"/>
      </w:pPr>
      <w:rPr>
        <w:rFonts w:hint="default"/>
        <w:lang w:val="uk-UA" w:eastAsia="uk-UA" w:bidi="uk-UA"/>
      </w:rPr>
    </w:lvl>
    <w:lvl w:ilvl="1">
      <w:start w:val="3"/>
      <w:numFmt w:val="decimal"/>
      <w:lvlText w:val="%1.%2."/>
      <w:lvlJc w:val="left"/>
      <w:pPr>
        <w:ind w:left="262" w:hanging="459"/>
      </w:pPr>
      <w:rPr>
        <w:rFonts w:ascii="Times New Roman" w:eastAsia="Times New Roman" w:hAnsi="Times New Roman" w:cs="Times New Roman" w:hint="default"/>
        <w:spacing w:val="-30"/>
        <w:w w:val="100"/>
        <w:sz w:val="24"/>
        <w:szCs w:val="24"/>
        <w:lang w:val="uk-UA" w:eastAsia="uk-UA" w:bidi="uk-UA"/>
      </w:rPr>
    </w:lvl>
    <w:lvl w:ilvl="2">
      <w:start w:val="1"/>
      <w:numFmt w:val="decimal"/>
      <w:lvlText w:val="%1.%2.%3"/>
      <w:lvlJc w:val="left"/>
      <w:pPr>
        <w:ind w:left="262" w:hanging="555"/>
      </w:pPr>
      <w:rPr>
        <w:rFonts w:ascii="Times New Roman" w:eastAsia="Times New Roman" w:hAnsi="Times New Roman" w:cs="Times New Roman" w:hint="default"/>
        <w:w w:val="100"/>
        <w:sz w:val="24"/>
        <w:szCs w:val="24"/>
        <w:lang w:val="uk-UA" w:eastAsia="uk-UA" w:bidi="uk-UA"/>
      </w:rPr>
    </w:lvl>
    <w:lvl w:ilvl="3">
      <w:numFmt w:val="bullet"/>
      <w:lvlText w:val="•"/>
      <w:lvlJc w:val="left"/>
      <w:pPr>
        <w:ind w:left="3189" w:hanging="555"/>
      </w:pPr>
      <w:rPr>
        <w:rFonts w:hint="default"/>
        <w:lang w:val="uk-UA" w:eastAsia="uk-UA" w:bidi="uk-UA"/>
      </w:rPr>
    </w:lvl>
    <w:lvl w:ilvl="4">
      <w:numFmt w:val="bullet"/>
      <w:lvlText w:val="•"/>
      <w:lvlJc w:val="left"/>
      <w:pPr>
        <w:ind w:left="4166" w:hanging="555"/>
      </w:pPr>
      <w:rPr>
        <w:rFonts w:hint="default"/>
        <w:lang w:val="uk-UA" w:eastAsia="uk-UA" w:bidi="uk-UA"/>
      </w:rPr>
    </w:lvl>
    <w:lvl w:ilvl="5">
      <w:numFmt w:val="bullet"/>
      <w:lvlText w:val="•"/>
      <w:lvlJc w:val="left"/>
      <w:pPr>
        <w:ind w:left="5143" w:hanging="555"/>
      </w:pPr>
      <w:rPr>
        <w:rFonts w:hint="default"/>
        <w:lang w:val="uk-UA" w:eastAsia="uk-UA" w:bidi="uk-UA"/>
      </w:rPr>
    </w:lvl>
    <w:lvl w:ilvl="6">
      <w:numFmt w:val="bullet"/>
      <w:lvlText w:val="•"/>
      <w:lvlJc w:val="left"/>
      <w:pPr>
        <w:ind w:left="6119" w:hanging="555"/>
      </w:pPr>
      <w:rPr>
        <w:rFonts w:hint="default"/>
        <w:lang w:val="uk-UA" w:eastAsia="uk-UA" w:bidi="uk-UA"/>
      </w:rPr>
    </w:lvl>
    <w:lvl w:ilvl="7">
      <w:numFmt w:val="bullet"/>
      <w:lvlText w:val="•"/>
      <w:lvlJc w:val="left"/>
      <w:pPr>
        <w:ind w:left="7096" w:hanging="555"/>
      </w:pPr>
      <w:rPr>
        <w:rFonts w:hint="default"/>
        <w:lang w:val="uk-UA" w:eastAsia="uk-UA" w:bidi="uk-UA"/>
      </w:rPr>
    </w:lvl>
    <w:lvl w:ilvl="8">
      <w:numFmt w:val="bullet"/>
      <w:lvlText w:val="•"/>
      <w:lvlJc w:val="left"/>
      <w:pPr>
        <w:ind w:left="8073" w:hanging="555"/>
      </w:pPr>
      <w:rPr>
        <w:rFonts w:hint="default"/>
        <w:lang w:val="uk-UA" w:eastAsia="uk-UA" w:bidi="uk-UA"/>
      </w:rPr>
    </w:lvl>
  </w:abstractNum>
  <w:abstractNum w:abstractNumId="5" w15:restartNumberingAfterBreak="0">
    <w:nsid w:val="4E4F7C91"/>
    <w:multiLevelType w:val="multilevel"/>
    <w:tmpl w:val="333A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C365E8"/>
    <w:multiLevelType w:val="multilevel"/>
    <w:tmpl w:val="7A98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382086">
    <w:abstractNumId w:val="1"/>
  </w:num>
  <w:num w:numId="2" w16cid:durableId="1242834194">
    <w:abstractNumId w:val="5"/>
  </w:num>
  <w:num w:numId="3" w16cid:durableId="1333605569">
    <w:abstractNumId w:val="6"/>
  </w:num>
  <w:num w:numId="4" w16cid:durableId="246812925">
    <w:abstractNumId w:val="2"/>
  </w:num>
  <w:num w:numId="5" w16cid:durableId="1857502726">
    <w:abstractNumId w:val="4"/>
  </w:num>
  <w:num w:numId="6" w16cid:durableId="1570726069">
    <w:abstractNumId w:val="3"/>
  </w:num>
  <w:num w:numId="7" w16cid:durableId="182335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55"/>
    <w:rsid w:val="00012AF0"/>
    <w:rsid w:val="00025774"/>
    <w:rsid w:val="000610F2"/>
    <w:rsid w:val="00067079"/>
    <w:rsid w:val="0007653D"/>
    <w:rsid w:val="0008451E"/>
    <w:rsid w:val="000B6847"/>
    <w:rsid w:val="000E018C"/>
    <w:rsid w:val="000E73C9"/>
    <w:rsid w:val="00104BDB"/>
    <w:rsid w:val="001266E5"/>
    <w:rsid w:val="001B07A2"/>
    <w:rsid w:val="001B2069"/>
    <w:rsid w:val="001B32A7"/>
    <w:rsid w:val="001F18A5"/>
    <w:rsid w:val="0021126A"/>
    <w:rsid w:val="0021500E"/>
    <w:rsid w:val="0027374E"/>
    <w:rsid w:val="002911C1"/>
    <w:rsid w:val="002C2A2E"/>
    <w:rsid w:val="002F29CF"/>
    <w:rsid w:val="00386154"/>
    <w:rsid w:val="003C49F0"/>
    <w:rsid w:val="003C5786"/>
    <w:rsid w:val="003E15BA"/>
    <w:rsid w:val="003F7938"/>
    <w:rsid w:val="004107F0"/>
    <w:rsid w:val="00417F77"/>
    <w:rsid w:val="0042383A"/>
    <w:rsid w:val="004424B7"/>
    <w:rsid w:val="0048487D"/>
    <w:rsid w:val="00496D65"/>
    <w:rsid w:val="004A652F"/>
    <w:rsid w:val="005229FA"/>
    <w:rsid w:val="00523493"/>
    <w:rsid w:val="0052702C"/>
    <w:rsid w:val="00530422"/>
    <w:rsid w:val="00554A15"/>
    <w:rsid w:val="00565D15"/>
    <w:rsid w:val="00580830"/>
    <w:rsid w:val="005A5278"/>
    <w:rsid w:val="005A5D27"/>
    <w:rsid w:val="005B72E6"/>
    <w:rsid w:val="005E0ABA"/>
    <w:rsid w:val="005E6188"/>
    <w:rsid w:val="005E758A"/>
    <w:rsid w:val="005F2A90"/>
    <w:rsid w:val="00621612"/>
    <w:rsid w:val="00631559"/>
    <w:rsid w:val="00660DA0"/>
    <w:rsid w:val="006827D4"/>
    <w:rsid w:val="0069091E"/>
    <w:rsid w:val="00690DD0"/>
    <w:rsid w:val="006B75F2"/>
    <w:rsid w:val="006C3C44"/>
    <w:rsid w:val="006C68F9"/>
    <w:rsid w:val="006E23BA"/>
    <w:rsid w:val="00714388"/>
    <w:rsid w:val="00724C8D"/>
    <w:rsid w:val="0074277B"/>
    <w:rsid w:val="00755101"/>
    <w:rsid w:val="007567CD"/>
    <w:rsid w:val="00763F43"/>
    <w:rsid w:val="007918DE"/>
    <w:rsid w:val="007A1A55"/>
    <w:rsid w:val="007A7E70"/>
    <w:rsid w:val="007C35CC"/>
    <w:rsid w:val="007D4D50"/>
    <w:rsid w:val="007E17F9"/>
    <w:rsid w:val="007E6D54"/>
    <w:rsid w:val="00811601"/>
    <w:rsid w:val="00822277"/>
    <w:rsid w:val="00825FA2"/>
    <w:rsid w:val="00844DB9"/>
    <w:rsid w:val="0085436D"/>
    <w:rsid w:val="00875A18"/>
    <w:rsid w:val="00876CFD"/>
    <w:rsid w:val="008824BB"/>
    <w:rsid w:val="00886458"/>
    <w:rsid w:val="00890437"/>
    <w:rsid w:val="008970FD"/>
    <w:rsid w:val="008E1562"/>
    <w:rsid w:val="00902613"/>
    <w:rsid w:val="0090512E"/>
    <w:rsid w:val="009570A1"/>
    <w:rsid w:val="0097089C"/>
    <w:rsid w:val="009860F8"/>
    <w:rsid w:val="009861BD"/>
    <w:rsid w:val="009E0FC8"/>
    <w:rsid w:val="00A26CD9"/>
    <w:rsid w:val="00A40E14"/>
    <w:rsid w:val="00A43E92"/>
    <w:rsid w:val="00A567EE"/>
    <w:rsid w:val="00A85AE3"/>
    <w:rsid w:val="00A92491"/>
    <w:rsid w:val="00B2550E"/>
    <w:rsid w:val="00B64039"/>
    <w:rsid w:val="00B80B75"/>
    <w:rsid w:val="00BE18B8"/>
    <w:rsid w:val="00BE5505"/>
    <w:rsid w:val="00BF2F59"/>
    <w:rsid w:val="00C5421E"/>
    <w:rsid w:val="00C62699"/>
    <w:rsid w:val="00C822B6"/>
    <w:rsid w:val="00CC6A3B"/>
    <w:rsid w:val="00CD2FA7"/>
    <w:rsid w:val="00CE67AA"/>
    <w:rsid w:val="00CF1E44"/>
    <w:rsid w:val="00CF3660"/>
    <w:rsid w:val="00D028FD"/>
    <w:rsid w:val="00D62E9E"/>
    <w:rsid w:val="00D63CDD"/>
    <w:rsid w:val="00D83057"/>
    <w:rsid w:val="00D91A45"/>
    <w:rsid w:val="00D91BB2"/>
    <w:rsid w:val="00D94F41"/>
    <w:rsid w:val="00D97490"/>
    <w:rsid w:val="00DF54E8"/>
    <w:rsid w:val="00E02BFE"/>
    <w:rsid w:val="00E418BB"/>
    <w:rsid w:val="00E77B7A"/>
    <w:rsid w:val="00E82A37"/>
    <w:rsid w:val="00E9574E"/>
    <w:rsid w:val="00EA4D48"/>
    <w:rsid w:val="00EB2685"/>
    <w:rsid w:val="00ED2B22"/>
    <w:rsid w:val="00EE2825"/>
    <w:rsid w:val="00F04463"/>
    <w:rsid w:val="00F0450F"/>
    <w:rsid w:val="00F06BBF"/>
    <w:rsid w:val="00F17E45"/>
    <w:rsid w:val="00F25F19"/>
    <w:rsid w:val="00F51773"/>
    <w:rsid w:val="00F91820"/>
    <w:rsid w:val="00F919E8"/>
    <w:rsid w:val="00FA2A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36AF1"/>
  <w15:docId w15:val="{18F3105F-8458-4DAD-A439-0756D320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154"/>
  </w:style>
  <w:style w:type="paragraph" w:styleId="2">
    <w:name w:val="heading 2"/>
    <w:basedOn w:val="a"/>
    <w:link w:val="20"/>
    <w:uiPriority w:val="9"/>
    <w:qFormat/>
    <w:rsid w:val="003861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6154"/>
    <w:rPr>
      <w:rFonts w:ascii="Times New Roman" w:eastAsia="Times New Roman" w:hAnsi="Times New Roman" w:cs="Times New Roman"/>
      <w:b/>
      <w:bCs/>
      <w:sz w:val="36"/>
      <w:szCs w:val="36"/>
      <w:lang w:eastAsia="ru-RU"/>
    </w:rPr>
  </w:style>
  <w:style w:type="paragraph" w:customStyle="1" w:styleId="zk-contentpar">
    <w:name w:val="zk-content__par"/>
    <w:basedOn w:val="a"/>
    <w:rsid w:val="003861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386154"/>
    <w:rPr>
      <w:color w:val="0000FF"/>
      <w:u w:val="single"/>
    </w:rPr>
  </w:style>
  <w:style w:type="table" w:styleId="a4">
    <w:name w:val="Table Grid"/>
    <w:basedOn w:val="a1"/>
    <w:uiPriority w:val="39"/>
    <w:rsid w:val="00386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Назва документа"/>
    <w:basedOn w:val="a"/>
    <w:next w:val="a"/>
    <w:rsid w:val="00386154"/>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1">
    <w:name w:val="Обычный1"/>
    <w:rsid w:val="00386154"/>
    <w:pPr>
      <w:spacing w:after="0" w:line="240" w:lineRule="auto"/>
    </w:pPr>
    <w:rPr>
      <w:rFonts w:ascii="Times New Roman" w:eastAsia="Times New Roman" w:hAnsi="Times New Roman" w:cs="Times New Roman"/>
      <w:sz w:val="20"/>
      <w:szCs w:val="20"/>
      <w:lang w:val="uk-UA" w:eastAsia="uk-UA"/>
    </w:rPr>
  </w:style>
  <w:style w:type="character" w:customStyle="1" w:styleId="10">
    <w:name w:val="Неразрешенное упоминание1"/>
    <w:basedOn w:val="a0"/>
    <w:uiPriority w:val="99"/>
    <w:semiHidden/>
    <w:unhideWhenUsed/>
    <w:rsid w:val="005E0ABA"/>
    <w:rPr>
      <w:color w:val="605E5C"/>
      <w:shd w:val="clear" w:color="auto" w:fill="E1DFDD"/>
    </w:rPr>
  </w:style>
  <w:style w:type="paragraph" w:styleId="a6">
    <w:name w:val="No Spacing"/>
    <w:uiPriority w:val="1"/>
    <w:qFormat/>
    <w:rsid w:val="000610F2"/>
    <w:pPr>
      <w:spacing w:after="0" w:line="240" w:lineRule="auto"/>
    </w:pPr>
  </w:style>
  <w:style w:type="paragraph" w:styleId="a7">
    <w:name w:val="Balloon Text"/>
    <w:basedOn w:val="a"/>
    <w:link w:val="a8"/>
    <w:uiPriority w:val="99"/>
    <w:semiHidden/>
    <w:unhideWhenUsed/>
    <w:rsid w:val="00DF54E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F54E8"/>
    <w:rPr>
      <w:rFonts w:ascii="Segoe UI" w:hAnsi="Segoe UI" w:cs="Segoe UI"/>
      <w:sz w:val="18"/>
      <w:szCs w:val="18"/>
    </w:rPr>
  </w:style>
  <w:style w:type="table" w:customStyle="1" w:styleId="TableNormal">
    <w:name w:val="Table Normal"/>
    <w:uiPriority w:val="2"/>
    <w:semiHidden/>
    <w:unhideWhenUsed/>
    <w:qFormat/>
    <w:rsid w:val="002737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27374E"/>
    <w:pPr>
      <w:widowControl w:val="0"/>
      <w:autoSpaceDE w:val="0"/>
      <w:autoSpaceDN w:val="0"/>
      <w:spacing w:after="0" w:line="240" w:lineRule="auto"/>
    </w:pPr>
    <w:rPr>
      <w:rFonts w:ascii="Times New Roman" w:eastAsia="Times New Roman" w:hAnsi="Times New Roman" w:cs="Times New Roman"/>
      <w:sz w:val="24"/>
      <w:szCs w:val="24"/>
      <w:lang w:val="uk-UA" w:eastAsia="uk-UA" w:bidi="uk-UA"/>
    </w:rPr>
  </w:style>
  <w:style w:type="character" w:customStyle="1" w:styleId="aa">
    <w:name w:val="Основной текст Знак"/>
    <w:basedOn w:val="a0"/>
    <w:link w:val="a9"/>
    <w:uiPriority w:val="1"/>
    <w:rsid w:val="0027374E"/>
    <w:rPr>
      <w:rFonts w:ascii="Times New Roman" w:eastAsia="Times New Roman" w:hAnsi="Times New Roman" w:cs="Times New Roman"/>
      <w:sz w:val="24"/>
      <w:szCs w:val="24"/>
      <w:lang w:val="uk-UA" w:eastAsia="uk-UA" w:bidi="uk-UA"/>
    </w:rPr>
  </w:style>
  <w:style w:type="paragraph" w:styleId="ab">
    <w:name w:val="List Paragraph"/>
    <w:basedOn w:val="a"/>
    <w:uiPriority w:val="1"/>
    <w:qFormat/>
    <w:rsid w:val="0027374E"/>
    <w:pPr>
      <w:widowControl w:val="0"/>
      <w:autoSpaceDE w:val="0"/>
      <w:autoSpaceDN w:val="0"/>
      <w:spacing w:after="0" w:line="240" w:lineRule="auto"/>
      <w:ind w:left="262"/>
      <w:jc w:val="both"/>
    </w:pPr>
    <w:rPr>
      <w:rFonts w:ascii="Times New Roman" w:eastAsia="Times New Roman" w:hAnsi="Times New Roman" w:cs="Times New Roman"/>
      <w:lang w:val="uk-UA" w:eastAsia="uk-UA" w:bidi="uk-UA"/>
    </w:rPr>
  </w:style>
  <w:style w:type="paragraph" w:customStyle="1" w:styleId="TableParagraph">
    <w:name w:val="Table Paragraph"/>
    <w:basedOn w:val="a"/>
    <w:uiPriority w:val="1"/>
    <w:qFormat/>
    <w:rsid w:val="0027374E"/>
    <w:pPr>
      <w:widowControl w:val="0"/>
      <w:autoSpaceDE w:val="0"/>
      <w:autoSpaceDN w:val="0"/>
      <w:spacing w:after="0" w:line="240" w:lineRule="auto"/>
      <w:jc w:val="center"/>
    </w:pPr>
    <w:rPr>
      <w:rFonts w:ascii="Times New Roman" w:eastAsia="Times New Roman" w:hAnsi="Times New Roman" w:cs="Times New Roman"/>
      <w:lang w:val="uk-UA" w:eastAsia="uk-UA" w:bidi="uk-UA"/>
    </w:rPr>
  </w:style>
  <w:style w:type="paragraph" w:customStyle="1" w:styleId="Default">
    <w:name w:val="Default"/>
    <w:rsid w:val="008824BB"/>
    <w:pPr>
      <w:autoSpaceDE w:val="0"/>
      <w:autoSpaceDN w:val="0"/>
      <w:adjustRightInd w:val="0"/>
      <w:spacing w:after="0" w:line="240" w:lineRule="auto"/>
    </w:pPr>
    <w:rPr>
      <w:rFonts w:ascii="Times New Roman"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827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le.tbe-birzha.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19066-95E6-4EF3-BFB4-7A5983DC6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3256</Words>
  <Characters>18565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2019-12-04T08:34:00Z</cp:lastPrinted>
  <dcterms:created xsi:type="dcterms:W3CDTF">2024-05-30T06:42:00Z</dcterms:created>
  <dcterms:modified xsi:type="dcterms:W3CDTF">2024-05-30T06:42:00Z</dcterms:modified>
</cp:coreProperties>
</file>